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 Partners Launches Lightningbox at Web3Fest in Crypto Valley, Reveals Headquarters Relocation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STORM Partners, a blockchain services provider, announced the launch of "Lightningbox" during Web3Fest in Switzerland's "Crypto Valley." Alongside major blockchain projects like Cardano (ADA) and MultiversX, the company also revealed the relocation of its headquarters from Montreux to Geneva.</w:t>
      </w:r>
    </w:p>
    <w:p>
      <w:r>
        <w:t>Lightningbox is designed to support large enterprises in Europe by providing a trusted environment with institutional-grade tools for blockchain application development. Initially focusing on Impact, Consumer, and Finance, the initiative will later expand to include Life Sciences. Key partners contributing to the initiative include stablecoin issuer Circle (USDC), cybersecurity firm Hacken, and legal advisors Walder Wyss.</w:t>
      </w:r>
    </w:p>
    <w:p>
      <w:r>
        <w:t>At the Decentral House event in Geneva, industry leaders and representatives from global organizations like eBay, UNHCR, and UNICEF gathered, underscoring the significance of the announcement. STORM Partners’ Managing Partner, Sheraz Ahmed, emphasized Geneva’s suitability as a global blockchain hub due to its innovative history and presence of international institutions.</w:t>
      </w:r>
    </w:p>
    <w:p>
      <w:r>
        <w:t>Simultaneously, Bybit Web3, the Web3 division of the global crypto exchange Bybit, reached a milestone of 10 million Web3 wallets worldwide. Bybit Web3 celebrated this achievement with giveaways worth over $500,000 and 50,000 Web3 points. Their platform has seen significant growth, including onboarding 1.4 million users through over 30 Initial DEX Offerings (IDOs) and substantial NFT collaborations. CEO Ben Zhou highlighted the achievement as a testament to their commitment to innovation in the decentralized finance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