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 Plans to Strengthen EU Trade Relations Post-election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 Labour Party to Pursue Enhanced EU Trade Relations if Elected</w:t>
      </w:r>
    </w:p>
    <w:p>
      <w:r>
        <w:t>Shadow Chancellor Rachel Reeves has announced that the Labour Party intends to seek improved trading terms with the European Union if it wins the upcoming general election. This initiative includes aligning with EU rules in specific sectors to enhance trade and economic growth.</w:t>
      </w:r>
    </w:p>
    <w:p>
      <w:r>
        <w:t>In a recent interview, Reeves outlined Labour's objectives, which involve revisiting aspects of the Brexit deal negotiated by Boris Johnson. The party aims for closer ties with the EU particularly in the chemicals sector and seeks better opportunities for financial services originating from the City of London.</w:t>
      </w:r>
    </w:p>
    <w:p>
      <w:r>
        <w:t>Labour, led by Keir Starmer, is proposing a reset of Britain's global image and economic relations. Despite the push for closer EU ties, Labour maintains red lines, including not rejoining the single market or customs union.</w:t>
      </w:r>
    </w:p>
    <w:p>
      <w:r>
        <w:t>An ambitious investment summit intended to attract international investors is also on Labour’s agenda. Reeves has emphasized the need to remove political instability as a barrier to investment in the UK.</w:t>
      </w:r>
    </w:p>
    <w:p>
      <w:r>
        <w:t>The Labour Party is currently leading the Conservatives by 20 points in the polls ahead of the July 4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