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forces strike Houthi radar sites in Yemen after attacks on commercial vessels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U.S. forces have conducted multiple strikes against Houthi radar sites in Yemen, following recent attacks by Iranian-backed Houthi militants on commercial vessels in the Red Sea. Over the past 24 hours, U.S. Central Command (CENTCOM) reported the destruction of seven Houthi radars, along with several sea and aerial drones. These actions were taken to protect freedom of navigation and ensure the safety of international waters for U.S., coalition, and merchant vessels in the region.</w:t>
      </w:r>
    </w:p>
    <w:p>
      <w:r>
        <w:t>The military response comes after the M/V Tutor, a 44,000-ton Greek-owned bulk carrier, was targeted by a waterborne explosive on June 12, causing severe flooding and damage to its engine room. The vessel was about 66 miles southwest of the port of Hudaydah at the time. The U.S. Navy rescued most of the Tutor's crew, with one crew member reported missing. The ship is still in the Red Sea, taking on water, and efforts to rescue it are underway.</w:t>
      </w:r>
    </w:p>
    <w:p>
      <w:r>
        <w:t>On June 15, CENTCOM identified the Houthi radar systems as posing an imminent threat to U.S., coalition forces, and merchant vessels, leading to their destruction. These attacks by the Houthis, purportedly in protest against Israel’s war with Hamas in Gaza, have also affected vessels from countries uninvolved in the conflict.</w:t>
      </w:r>
    </w:p>
    <w:p>
      <w:r>
        <w:t>In a separate incident, the Ukrainian-owned M/V Verbena was attacked in the Gulf of Aden on June 13, resulting in injuries to one crew member and onboard fires. The Houthis' continued targeting of third-country nationals has been condemned for threatening regional stability and endangering mariners' lives across the Red Sea and Gulf of Aden.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