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BYD Sees Berkshire Hathaway Reduce Investment as Trade Tensions Rise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BYD Investment Adjustments Amid Rising Trade Tensions</w:t>
      </w:r>
    </w:p>
    <w:p>
      <w:r>
        <w:t>BYD, China's leading electric vehicle (EV) producer and a major competitor to Tesla, is the focus of recent transactions and trade tensions. Warren Buffett's Berkshire Hathaway has reduced its stake in BYD, selling 1.35 million shares on June 11, 2024, decreasing its holding from 7.02% to 6.9%. This transaction, valued at 310.5 million Hong Kong dollars ($40 million), marks Berkshire's first major sale in ten months and its 14th since August 2022.</w:t>
      </w:r>
    </w:p>
    <w:p>
      <w:r>
        <w:t>These sales align with increasing global trade tensions concerning Chinese EV exports. The European Union recently imposed additional tariffs on Chinese EVs, citing unfair subsidies from Beijing, which already provided significant policy support to Chinese manufacturers. BYD now faces a 27.4% duty on car imports into the EU, on top of the existing 10%, while the U.S. has increased its tariffs on Chinese EVs to 100%.</w:t>
      </w:r>
    </w:p>
    <w:p>
      <w:r>
        <w:t>In retaliation, China announced an anti-dumping probe into European pork imports, impacting products worth £2.5 billion. This escalation raises concerns of a potential trade war between the economic powers. Spain, a significant player in the pork market, is particularly anxious, with officials seeking a resolution to avoid further conflict.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