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Increase in Extremist Crimes Threatens German Democracy, Report Reveals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Increase in Extremist Crimes Threatens German Democracy, Report Reveals</w:t>
      </w:r>
    </w:p>
    <w:p>
      <w:r>
        <w:rPr>
          <w:b/>
        </w:rPr>
        <w:t>Berlin, Germany</w:t>
      </w:r>
      <w:r>
        <w:t xml:space="preserve"> - On June 18, 2024, Germany's interior minister, Nancy Faeser, and Thomas Haldenwang, President of the Office for the Protection of the Constitution (BfV), presented an annual report highlighting a significant increase in crimes by extremists. The report, spanning 400 pages, noted a rise of nearly 4,000 extremist crimes last year, totaling just under 40,000 offenses. Far-right crimes surged by approximately 25%, reaching about 40,600 individuals, with over one-third prepared to use violence.</w:t>
      </w:r>
    </w:p>
    <w:p>
      <w:r>
        <w:t>The study pointed to domestic threats from far-right groups, including the Reichsbürger movement with 25,000 supporters. Islamist extremism and cyber-attacks from Russia and China were also identified as notable threats. The rise of antisemitic crimes, especially following the war in Gaza, and the political activities of the far-right Alternative für Deutschland (AfD), currently under surveillance by the BfV, were underscored as pressing concerns.</w:t>
      </w:r>
    </w:p>
    <w:p>
      <w:r>
        <w:t>Faeser emphasized the need to address both internal and external threats to Germany’s democracy, citing the influences of the Ukraine and Gaza conflicts on German security and radicalism.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