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Tensions in the Middle East Spark Fears of Widespread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in the Middle East have escalated significantly, leading to rising fears of widespread conflict. On June 18, 2024, Israeli Foreign Minister Israel Katz issued a stern warning to Hezbollah, an Iranian-backed militant group based in Lebanon. Katz threatened that if Israel decided to go to war, Hezbollah would be "destroyed" and Lebanon would be "severely hit." This statement came amid ongoing violence between Israeli forces and Hezbollah, which intensified following Hamas’s unprecedented attack on southern Israel on October 7.</w:t>
      </w:r>
    </w:p>
    <w:p>
      <w:r>
        <w:t>Concurrently, the maritime conflict has worsened. The bulk carrier Tutor sank in the Red Sea after being attacked by Yemen's Houthi rebels, marking the second such incident. The attack, carried out by a bomb-laden drone, killed one Filipino crew member. This is part of a broader Houthi campaign targeting vessels in the Red Sea, despite a U.S.-led effort to protect maritime routes in the region.</w:t>
      </w:r>
    </w:p>
    <w:p>
      <w:r>
        <w:t xml:space="preserve">U.S. envoy Amos Hochstein has called for urgent de-escalation, warning that a wider confrontation could trigger a significant backlash, including possible escalation by Iran. The United Nations has also raised concerns over the ongoing war, spotlighting potential crimes against humanity committed by Israeli forces in Gaza. </w:t>
      </w:r>
    </w:p>
    <w:p>
      <w:r>
        <w:t>As the deadly cycle of violence continues, the risks of unintentional escalation remain high, with potential far-reaching consequences for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