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Strategic Strikes and Battlefield Successes in the Russia-Ukraine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Frontline Battles and Strategic Strikes: Developments in the Russia-Ukraine Conflict</w:t>
      </w:r>
    </w:p>
    <w:p>
      <w:r>
        <w:t>In northeastern Ukraine, recent footage captured the destruction of a modified Russian T-72 tank, nicknamed "Achilles," by Ukraine's 58th Motorized Brigade. The tank, equipped with metal cages meant to provide additional protection, fell victim to a first-person view (FPV) drone. This particular incident in the ongoing conflict reflects broader efforts by Ukraine's forces to target Russian machinery.</w:t>
      </w:r>
    </w:p>
    <w:p>
      <w:r>
        <w:t>Ivan Stupak, a former Ukrainian Security Service officer, identified the tank as a T-72 model, potentially a T-80. The Ministry of Defence of Ukraine released a celebratory post following the tank's destruction, emphasizing the vulnerability of the machinery despite its armor.</w:t>
      </w:r>
    </w:p>
    <w:p>
      <w:r>
        <w:t>Concurrent with battlefield actions, Ukraine's targeted drone attacks have extended to Russian energy facilities. Notably, a drone strike early Tuesday at an oil depot in Azov, Rostov region, resulted in a significant fire, localizing around 3,200 square meters. The depot, approximately 150 kilometers from Ukraine's border, comprises 22 fuel tanks suspected to contain crude oil. This attack's responsibility was claimed by the Security Service of Ukraine (SBU).</w:t>
      </w:r>
    </w:p>
    <w:p>
      <w:r>
        <w:t>These strategic operations align with Ukraine's broader tactic of targeting Russian energy infrastructure, aiming to disrupt economic stability. This approach includes past drone strikes on the Novoshakhtinsk oil refinery and the Importpischeprom oil products terminal. Despite these efforts, Russia's hydrocarbon earnings remain robust, with January-May 2024 revenues up 73% from the previous year, reaching approximately $55.7 billion.</w:t>
      </w:r>
    </w:p>
    <w:p>
      <w:r>
        <w:t>These developments mark ongoing high-stakes engagements and strategic operations within the context of the protracted conflict between Russia and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