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Chinese Car Companies Call for 25% Import Tax on EU Vehicles Amid Trade Tensions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Chinese car companies are urging Beijing to impose up to 25% import taxes on European Union (EU) vehicles, particularly those with large petrol-driven engines, in retaliation if the EU imposes tariffs on Chinese electric vehicles. This demand emerged during a closed-door meeting organized by China's Ministry of Commerce, which was attended by both Chinese and European car manufacturers, including Volkswagen, BMW, and Porsche.</w:t>
      </w:r>
    </w:p>
    <w:p>
      <w:r>
        <w:t>This response follows the EU's announcement of potential tariffs ranging from 17.1% to 38.1% on Chinese electric vehicles, citing unfair competition due to Chinese subsidies. China's state-run Global Times has echoed carmakers' call for a 25% tariff on large-engine petrol vehicles imported from Europe.</w:t>
      </w:r>
    </w:p>
    <w:p>
      <w:r>
        <w:t xml:space="preserve">Meanwhile, Spain's agriculture sector, specifically its pork industry, is reacting to China's investigation into EU pork imports, potentially jeopardizing Spain's significant pork exports to China. Spain supplied 22% of China's imported pork in 2023, worth €1.2 billion. This probe is seen as China's response to the EU's new tariffs on Chinese EVs. Although Spain's pork industry has demonstrated resilience in past trade disputes, the potential tariffs remain a concern. </w:t>
      </w:r>
    </w:p>
    <w:p>
      <w:r>
        <w:t>While the EU's automotive industry is grappling with the rise of lower-cost Chinese EVs, analysts suggest that China's moderate response indicates a potential willingness to negotiate rather than escalate into a full-blown trade conflict.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