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Confrontation between Philippine Navy and Chinese Coastguard in South China Sea Raises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confrontation occurred between the Philippine Navy and the Chinese coastguard at the Second Thomas Shoal in the South China Sea on Monday, resulting in the seizure of several rifles and other equipment by the Chinese. The incident took place when Chinese personnel on more than eight motorboats rammed and boarded two Philippine Navy inflatable boats to prevent the delivery of supplies to a Philippine outpost. During the clash, eight M4 rifles, navigation equipment, and other supplies were confiscated, causing injuries to several Filipino personnel.</w:t>
      </w:r>
    </w:p>
    <w:p>
      <w:r>
        <w:t>Philippine military chief General Romeo Brawner Jr. demanded the return of the seized items and compensation for damages. The Chinese coastguard defended their actions by stating the Philippine vessels were trespassing in Chinese-claimed waters. In contrast, the Philippines claimed their boats were conducting a legal supply mission within their exclusive economic zone.</w:t>
      </w:r>
    </w:p>
    <w:p>
      <w:r>
        <w:t>Footage released by the Philippine military showed Chinese personnel armed with knives and axes attacking the Philippine boats and seizing equipment. This incident raised concerns about escalating tensions between China and the Philippines, with the potential to involve their ally, the United States. The U.S. reiterated its commitment to defend the Philippines under their mutual defense treaty following the confrontation. The South China Sea remains a contested region with overlapping claims from multiple countries, including China and the Philippines.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