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Germany's Minister Robert Habeck Holds Climate Talks in China and South Korea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Robert Habeck, Germany's Minister for Economic Affairs and Vice Chancellor, is currently undertaking a five-day visit to China and South Korea to discuss important topics, including tariffs, human rights, and climate change. </w:t>
      </w:r>
    </w:p>
    <w:p>
      <w:r>
        <w:t xml:space="preserve">On June 22, 2024, the first high-level dialogue under the China-Germany dialogue and cooperation mechanism on climate change and green transition took place in Beijing. </w:t>
      </w:r>
    </w:p>
    <w:p>
      <w:r>
        <w:t xml:space="preserve">Key outcomes from the meeting include the initiation of provincial-level cooperation on green transition and the establishment of a working group focused on industrial carbon reduction. </w:t>
      </w:r>
    </w:p>
    <w:p>
      <w:r>
        <w:t xml:space="preserve">Both nations agreed to collaborate on demonstration projects aimed at improving energy efficiency in critical sectors. Additionally, China expressed its willingness to enhance cooperation with Germany on energy efficiency, the circular economy, industrial carbon reduction, and energy transition. </w:t>
      </w:r>
    </w:p>
    <w:p>
      <w:r>
        <w:t xml:space="preserve">Germany, in turn, is open to exploring further collaborations in renewable energy, smart grid development, and the production of zero-carbon and low-carbon products. </w:t>
      </w:r>
    </w:p>
    <w:p>
      <w:r>
        <w:t>This meeting marks a significant step in the ongoing cooperation between the two countries in addressing climate change and advancing green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