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Assange's Path to Freedom: A Journey Marked by Legal Battles and International Intrigue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Julian Assange's Journey to Freedom</w:t>
      </w:r>
    </w:p>
    <w:p>
      <w:r>
        <w:t>BANGKOK — WikiLeaks founder Julian Assange is en route to freedom after a prolonged legal saga. On Tuesday, his chartered flight from London refueled in Bangkok and continued to Saipan, the Northern Mariana Islands' capital, where he will finalize a plea deal with the U.S. government. This deal will see him plead guilty to an Espionage Act charge but avoid further imprisonment.</w:t>
      </w:r>
    </w:p>
    <w:p>
      <w:r>
        <w:t>Assange's journey began after five years in London's Belmarsh Prison and a prior seven-year asylum in the Ecuadorian Embassy. His wife Stella confirmed his release and upcoming return to Australia, highlighting the intervention of Australian Prime Minister Anthony Albanese as pivotal. Assange will appear in court on Wednesday to formalize his plea, marking an end to his extradition battles.</w:t>
      </w:r>
    </w:p>
    <w:p>
      <w:r>
        <w:t>The case has drawn global attention, contrasting views of Assange as either a crusader for transparency or a national security threat. His plea deal was negotiated to ensure his freedom, concluding a significant chapter in a high-profile legal struggle.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