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China-Kyrgyzstan-Uzbekistan Railway Construction Agreement Nearing Conclusion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China-Kyrgyzstan-Uzbekistan Railway Construction Agreement Imminent</w:t>
      </w:r>
      <w:r/>
    </w:p>
    <w:p>
      <w:r/>
      <w:r>
        <w:t>Negotiations for a trilateral commercial agreement on the construction of the China-Kyrgyzstan-Uzbekistan railway are nearing conclusion. Chairman of the Cabinet of Ministers, Akylbek Japarov, met with Ma Xingrui, a member of the Politburo of the Central Committee of the Communist Party of China and Secretary of the Xinjiang Party Committee, during a working trip to Urumqi. The impending agreement aims to boost regional connectivity.</w:t>
      </w:r>
      <w:r/>
    </w:p>
    <w:p>
      <w:pPr>
        <w:pBdr>
          <w:bottom w:val="single" w:sz="6" w:space="1" w:color="auto"/>
        </w:pBdr>
      </w:pPr>
      <w:r/>
    </w:p>
    <w:p>
      <w:r/>
      <w:r>
        <w:rPr>
          <w:b/>
        </w:rPr>
        <w:t>Profile: Julia of PwC Singapore</w:t>
      </w:r>
      <w:r/>
    </w:p>
    <w:p>
      <w:r/>
      <w:r>
        <w:t>Julia, a partner at PwC Singapore, specializes in Digital Regulatory Risk &amp; Compliance. With over two decades of experience, Julia advises financial institutions on digital transformation, risk management, and compliance. She has led numerous projects in banking, corporate governance, and internal audits. Julia also contributes to the community by serving on various boards and mentoring aspiring leaders.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