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 Leading Expert in Digital Regulatory Risk &amp; Compliance at PwC Singapore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 is a partner at PwC Singapore, specializing in Digital Regulatory Risk &amp; Compliance. She has over 20 years of experience advising banks, wealth managers, and capital markets intermediaries on digital transformation, risk and regulations, controls, and governance. Julia has a notable background in leading core banking, compliance, operational risk, finance transformation programs, corporate governance, enterprise risk management, and internal audit reviews. Her clients appreciate her ability to create tailored, pragmatic solutions.</w:t>
      </w:r>
    </w:p>
    <w:p>
      <w:r>
        <w:t>Previously, Julia held leadership roles in private banking, banking governance, risk, compliance, and digital transformation services. Beyond her professional duties, she actively participates in board directorships and mentoring. She is a Board of Trustees member at ISEAS, a board member at the Building Construction Authority, and a committee member of the Governance and Audit Committee at the Singapore Heart Foundation. She also mentors at the Young Women Leadership Connection and Mentorshub.</w:t>
      </w:r>
    </w:p>
    <w:p>
      <w:r>
        <w:t>Separately, a trilateral commercial agreement on the construction of the China-Kyrgyzstan-Uzbekistan railway is expected to be signed soon. This development followed a meeting between Akylbek Japarov, Chairman of the Cabinet of Ministers, and Ma Xingrui, member of the Politburo of the Central Committee of the Communist Party of China and Secretary of the Xinjiang Party Committee, in Urumqi.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