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 unveils draft principles to regulate lunar mining amid heritage preservation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April 2025 marked a pivotal month for humanity's continued exploration of space, not only because of notable civilian journeys such as Katy Perry’s extraordinary flight to the edge of space, but also due to crucial discussions taking place at the United Nations regarding the future of lunar resource utilization. As nations and private entities rush to explore and potentially mine the Moon, a dedicated Working Group within the United Nations Committee on the Peaceful Uses of Outer Space unveiled a draft set of recommended principles aimed at regulating these activities. The focus was squarely on establishing guidelines for the responsible extraction and use of natural resources from the Moon and beyond, a task fraught with legal and ethical complexities.</w:t>
      </w:r>
      <w:r/>
    </w:p>
    <w:p>
      <w:r/>
      <w:r>
        <w:t>The current legal landscape governing space activities is shaped by the 1967 Outer Space Treaty, a foundational document that has been agreed upon by over 115 nations, including major players such as the United States, China, and Russia. This treaty establishes that space is the “province of all humankind,” precluding any nation from claiming territorial sovereignty over celestial bodies. However, the ambiguities inherent in this international law raise critical questions: how will private companies safeguard their investments in lunar mining operations if access must remain open to all? Furthermore, what happens when multiple entities converge on the same lucrative lunar resource? These dilemmas highlight the urgent need for a comprehensive legal framework to address potential conflicts and to set boundaries around the burgeoning industry of space mining.</w:t>
      </w:r>
      <w:r/>
    </w:p>
    <w:p>
      <w:r/>
      <w:r>
        <w:t>Central to this complex scenario is the concept of "first mover advantage," which is facilitated by the treaty’s broad legal language. Entities that reach specific locations on the lunar surface first may establish practices that could restrict others’ access. Although Article IX of the Outer Space Treaty mandates that nations respect the interests of others, it offers little clarity on how this should be interpreted or enforced. This ambiguity risks fostering a competitive environment where the first group to stake a claim could effectively monopolise a resource, leaving later arrivals with limited recourse.</w:t>
      </w:r>
      <w:r/>
    </w:p>
    <w:p>
      <w:r/>
      <w:r>
        <w:t>As nations ramp up their lunar missions, including the ambitious U.S. Artemis program slated for a human return to the Moon by 2028, it is crucial to recognise the Moon's rich historical landscape. The lunar surface harbours numerous sites that bear witness to human technological advancement, from the Soviet Luna 2 to the Apollo 11 landing where Armstrong and Aldrin first touched another celestial body. These sites, which come under the United Nations’ definition of cultural heritage, deserve to be preserved for future generations. Striking a balance between extracting resources and protecting heritage must become a priority as the Moon transforms from a distant dream into an operational hub for exploration.</w:t>
      </w:r>
      <w:r/>
    </w:p>
    <w:p>
      <w:r/>
      <w:r>
        <w:t>NASA has previously recommended implementing buffer zones around historically significant lunar sites, recognising the need for protective measures without outright exclusion, which would violate treaty obligations. While these guidelines remain voluntary, they represent an initial step toward institutionalising the concept of heritage protection within the frameworks governing space exploration. By establishing access protocols and monitoring standards, the international community could create a consistent approach that safeguards lunar sites while facilitating scientific research and resource extraction.</w:t>
      </w:r>
      <w:r/>
    </w:p>
    <w:p>
      <w:r/>
      <w:r>
        <w:t>The draft principles released by the United Nations have captivated the attention of the international community. However, critics argue that these guidelines do not sufficiently address the competing interests of access and protection. The challenge lies in integrating these diverse priorities into a coherent legal framework that upholds the spirit of the Outer Space Treaty while allowing for the sustainable development of lunar resources.</w:t>
      </w:r>
      <w:r/>
    </w:p>
    <w:p>
      <w:r/>
      <w:r>
        <w:t>As momentum builds for lunar exploration, a clear legal structure will be essential to guide activities, prevent conflict, and ensure the preservation of humanity’s historical footprint on the Moon. It is a time for proactive international discourse, where the ambitions of nations and private companies can coalesce around shared principles of cooperation and stewardship, ensuring that our ventures into space respect both our heritage and the legacy we leave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5, 6, 7</w:t>
      </w:r>
      <w:r/>
    </w:p>
    <w:p>
      <w:pPr>
        <w:pStyle w:val="ListNumber"/>
        <w:spacing w:line="240" w:lineRule="auto"/>
        <w:ind w:left="720"/>
      </w:pPr>
      <w:r/>
      <w:r>
        <w:t>Paragraphs 2, 4, 8 6. Paragraphs 2, 4, 5, 6, 8</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https://theconversation.com/right-now-space-law-doesnt-protect-historical-sites-mining-operations-and-bases-on-the-moon-a-space-lawyer-describes-a-framework-that-could-255757</w:t>
        </w:r>
      </w:hyperlink>
      <w:r>
        <w:t xml:space="preserve"> - Please view link - unable to able to access data</w:t>
      </w:r>
      <w:r/>
    </w:p>
    <w:p>
      <w:pPr>
        <w:pStyle w:val="ListBullet"/>
        <w:spacing w:line="240" w:lineRule="auto"/>
        <w:ind w:left="720"/>
      </w:pPr>
      <w:r/>
      <w:hyperlink r:id="rId11">
        <w:r>
          <w:rPr>
            <w:color w:val="0000EE"/>
            <w:u w:val="single"/>
          </w:rPr>
          <w:t>https://www.unoosa.org/oosa/en/ourwork/spacelaw/treaties/outerspacetreaty.html</w:t>
        </w:r>
      </w:hyperlink>
      <w:r>
        <w:t xml:space="preserve"> - The United Nations Office for Outer Space Affairs provides the full text of the Outer Space Treaty, which establishes that outer space, including the Moon and other celestial bodies, is not subject to national appropriation by any means. This principle is fundamental in international space law, ensuring that no country can claim sovereignty over celestial bodies. The treaty also outlines other key principles, such as the use of outer space for peaceful purposes and the prohibition of placing nuclear weapons in orbit. The full text is available on the UNOOSA website.</w:t>
      </w:r>
      <w:r/>
    </w:p>
    <w:p>
      <w:pPr>
        <w:pStyle w:val="ListBullet"/>
        <w:spacing w:line="240" w:lineRule="auto"/>
        <w:ind w:left="720"/>
      </w:pPr>
      <w:r/>
      <w:hyperlink r:id="rId12">
        <w:r>
          <w:rPr>
            <w:color w:val="0000EE"/>
            <w:u w:val="single"/>
          </w:rPr>
          <w:t>https://avalon.law.yale.edu/20th_century/usmu016.asp</w:t>
        </w:r>
      </w:hyperlink>
      <w:r>
        <w:t xml:space="preserve"> - Yale Law School's Avalon Project offers the full text of the Outer Space Treaty, including Article II, which states that outer space, including the Moon and other celestial bodies, is not subject to national appropriation by any means. This principle is central to international space law, preventing any nation from claiming sovereignty over celestial bodies. The Avalon Project provides access to historical legal documents, including this treaty, which serves as a foundational text in space law.</w:t>
      </w:r>
      <w:r/>
    </w:p>
    <w:p>
      <w:pPr>
        <w:pStyle w:val="ListBullet"/>
        <w:spacing w:line="240" w:lineRule="auto"/>
        <w:ind w:left="720"/>
      </w:pPr>
      <w:r/>
      <w:hyperlink r:id="rId13">
        <w:r>
          <w:rPr>
            <w:color w:val="0000EE"/>
            <w:u w:val="single"/>
          </w:rPr>
          <w:t>https://www.mcgill.ca/iasl/research/space-law/outer-space-treaty</w:t>
        </w:r>
      </w:hyperlink>
      <w:r>
        <w:t xml:space="preserve"> - McGill University's Institute of Air and Space Law provides an overview of the Outer Space Treaty, highlighting Article II, which prohibits national appropriation of outer space, including the Moon and other celestial bodies. This principle is a cornerstone of international space law, ensuring that no country can claim sovereignty over celestial bodies. The McGill Institute offers resources and research on space law, including detailed analyses of international treaties governing space activities.</w:t>
      </w:r>
      <w:r/>
    </w:p>
    <w:p>
      <w:pPr>
        <w:pStyle w:val="ListBullet"/>
        <w:spacing w:line="240" w:lineRule="auto"/>
        <w:ind w:left="720"/>
      </w:pPr>
      <w:r/>
      <w:hyperlink r:id="rId14">
        <w:r>
          <w:rPr>
            <w:color w:val="0000EE"/>
            <w:u w:val="single"/>
          </w:rPr>
          <w:t>https://legal.un.org/avl//////ha/tos/tos.html</w:t>
        </w:r>
      </w:hyperlink>
      <w:r>
        <w:t xml:space="preserve"> - The United Nations Audiovisual Library of International Law provides the full text of the Outer Space Treaty, including Article II, which prohibits national appropriation of outer space, including the Moon and other celestial bodies. This principle is fundamental in international space law, ensuring that no nation can claim sovereignty over celestial bodies. The UN Audiovisual Library offers access to a wide range of international legal documents and resources.</w:t>
      </w:r>
      <w:r/>
    </w:p>
    <w:p>
      <w:pPr>
        <w:pStyle w:val="ListBullet"/>
        <w:spacing w:line="240" w:lineRule="auto"/>
        <w:ind w:left="720"/>
      </w:pPr>
      <w:r/>
      <w:hyperlink r:id="rId15">
        <w:r>
          <w:rPr>
            <w:color w:val="0000EE"/>
            <w:u w:val="single"/>
          </w:rPr>
          <w:t>https://www.berkeleyjournalofinternationallaw.com/post/circumventing-the-non-appropriation-principle-of-international-space-law</w:t>
        </w:r>
      </w:hyperlink>
      <w:r>
        <w:t xml:space="preserve"> - An article from the Berkeley Journal of International Law discusses the non-appropriation principle of international space law, as outlined in Article II of the Outer Space Treaty. The article explores how this principle aims to prevent national appropriation of celestial bodies and the potential challenges and interpretations related to this principle. It provides insights into the complexities of applying the non-appropriation principle in the context of space exploration and resource utilization.</w:t>
      </w:r>
      <w:r/>
    </w:p>
    <w:p>
      <w:pPr>
        <w:pStyle w:val="ListBullet"/>
        <w:spacing w:line="240" w:lineRule="auto"/>
        <w:ind w:left="720"/>
      </w:pPr>
      <w:r/>
      <w:hyperlink r:id="rId16">
        <w:r>
          <w:rPr>
            <w:color w:val="0000EE"/>
            <w:u w:val="single"/>
          </w:rPr>
          <w:t>https://www.dlapiper.com/en/es-pr/insights/publications/2024/07/enhancing-the-regulatory-environment-and-sustainable-practices-for-space-part-one</w:t>
        </w:r>
      </w:hyperlink>
      <w:r>
        <w:t xml:space="preserve"> - DLA Piper discusses the non-appropriation principle in the context of the Outer Space Treaty, highlighting Article II, which states that outer space, including the Moon and other celestial bodies, is not subject to national appropriation by any means. The article examines the complexities this principle introduces, especially concerning resource extraction and the rights of states and private entities in space activities. It provides a legal analysis of the challenges in balancing the non-appropriation principle with the need for sustainable practices in space exploration.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onversation.com/right-now-space-law-doesnt-protect-historical-sites-mining-operations-and-bases-on-the-moon-a-space-lawyer-describes-a-framework-that-could-255757" TargetMode="External"/><Relationship Id="rId11" Type="http://schemas.openxmlformats.org/officeDocument/2006/relationships/hyperlink" Target="https://www.unoosa.org/oosa/en/ourwork/spacelaw/treaties/outerspacetreaty.html" TargetMode="External"/><Relationship Id="rId12" Type="http://schemas.openxmlformats.org/officeDocument/2006/relationships/hyperlink" Target="https://avalon.law.yale.edu/20th_century/usmu016.asp" TargetMode="External"/><Relationship Id="rId13" Type="http://schemas.openxmlformats.org/officeDocument/2006/relationships/hyperlink" Target="https://www.mcgill.ca/iasl/research/space-law/outer-space-treaty" TargetMode="External"/><Relationship Id="rId14" Type="http://schemas.openxmlformats.org/officeDocument/2006/relationships/hyperlink" Target="https://legal.un.org/avl//////ha/tos/tos.html" TargetMode="External"/><Relationship Id="rId15" Type="http://schemas.openxmlformats.org/officeDocument/2006/relationships/hyperlink" Target="https://www.berkeleyjournalofinternationallaw.com/post/circumventing-the-non-appropriation-principle-of-international-space-law" TargetMode="External"/><Relationship Id="rId16" Type="http://schemas.openxmlformats.org/officeDocument/2006/relationships/hyperlink" Target="https://www.dlapiper.com/en/es-pr/insights/publications/2024/07/enhancing-the-regulatory-environment-and-sustainable-practices-for-space-part-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