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markets slip amid Middle East tensions and cautious ECB pause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equity markets have fallen amid heightened caution driven by escalating tensions in the Middle East, weighing heavily on investor sentiment. Major indexes such as the FTSE 100, Germany’s DAX 40, and France’s CAC 40 declined as market participants grappled with the geopolitical uncertainty provoked by ongoing aerial exchanges between Israel and Iran. Further compounding concerns were ambiguous comments from U.S. leadership regarding potential military involvement, fueling fears of a broader regional conflict with global security and energy supply implications. This precarious geopolitical backdrop has intensified volatility, particularly within energy markets, where prices are sensitive to Middle Eastern instability.</w:t>
      </w:r>
      <w:r/>
    </w:p>
    <w:p>
      <w:r/>
      <w:r>
        <w:t>Despite the tense situation, oil prices have not surged dramatically—a contrast to responses seen in past geopolitical crises. Analysts note that Iran’s relatively constrained geopolitical and economic power, combined with tacit U.S. support for Israel and a slowing global economy, have tempered market reactions. Unlike the pronounced impacts observed during Russia’s invasion of Ukraine, current oil markets reflect a view that significant disruptions, while possible, are unlikely in the short term. This is reinforced by historical data suggesting that although geopolitical shocks often cause short-lived spikes in oil prices, they rarely lead to sustained long-term economic damage unless key supply routes are compromised or the conflict significantly intensifies.</w:t>
      </w:r>
      <w:r/>
    </w:p>
    <w:p>
      <w:r/>
      <w:r>
        <w:t>Equity markets in Europe are navigating this complex environment against the backdrop of critical central bank meetings. The European Central Bank (ECB), having just paused its sequence of rate hikes after ten consecutive increases since July 2022, adopted a cautious stance amid worsening geopolitical risks and economic headwinds. Inflation in the eurozone eased to 4.3% in September, but ECB President Christine Lagarde underscored the importance of maintaining elevated interest rates until inflation approaches the 2% target. This pause aligns with similar holds by the U.S. Federal Reserve and the Bank of England, reflecting a broader global trend towards recalibrating monetary policy amid signs of slowing growth and recession risks exacerbated by geopolitical tensions.</w:t>
      </w:r>
      <w:r/>
    </w:p>
    <w:p>
      <w:r/>
      <w:r>
        <w:t>However, some economic analysts argue that the ECB’s delayed response to rising inflation may have intensified current pressures. A study by the German Institute for Economic Research suggested that had the ECB begun raising rates as early as mid-2021, inflation might have been curbed more effectively, possibly stabilising near 3% rather than peaking above 10% in August 2022. The lag in tightening monetary policy was partly due to concerns about post-pandemic economic stability across the eurozone. While earlier rate hikes could have tempered inflation, they might also have temporarily reduced GDP, highlighting the difficult balancing act faced by policymakers.</w:t>
      </w:r>
      <w:r/>
    </w:p>
    <w:p>
      <w:r/>
      <w:r>
        <w:t>Adding complexity to Europe’s monetary landscape is the increasing divergence in interest rate policies globally. Whereas the U.S. Federal Reserve appears poised for a single rate cut, European central banks such as the ECB and the Bank of England remain cautious in the face of subdued economic performance and growth forecasts. This differential risks causing adverse currency movements, potentially sparking imported inflation in Europe. Experts suggest that without coordinated, pan-European economic initiatives—particularly in sectors like artificial intelligence and sustainable energy—Europe may struggle to counterbalance these structural challenges.</w:t>
      </w:r>
      <w:r/>
    </w:p>
    <w:p>
      <w:r/>
      <w:r>
        <w:t>Within the equity markets, corporate performances have varied. London-listed shares showed mixed fortunes, with some companies like FRAS advancing while others such as REVB fell sharply. Meanwhile, steady players such as Vodafone experienced little movement. The sensitivities within the energy sector remain pronounced as investors continue monitoring developments that could affect global supply chains and prices.</w:t>
      </w:r>
      <w:r/>
    </w:p>
    <w:p>
      <w:r/>
      <w:r>
        <w:t>In summary, European financial markets are at a juncture defined by the interplay between geopolitical instability in the Middle East and cautious monetary policy pivots. The duration and severity of the Israel-Iran conflict, alongside forthcoming central bank signals, are poised to shape short-term market dynamics. Investors remain alert to how these forces will converge amid a global economic environment marked by uncertainty and interconnected risks.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https://kalkinemedia.com/uk/news/market-updates/middle-east-tensions-weigh-on-european-markets-central-bank-decisions-awaited</w:t>
        </w:r>
      </w:hyperlink>
      <w:r>
        <w:t xml:space="preserve"> - Please view link - unable to able to access data</w:t>
      </w:r>
      <w:r/>
    </w:p>
    <w:p>
      <w:pPr>
        <w:pStyle w:val="ListNumber"/>
        <w:spacing w:line="240" w:lineRule="auto"/>
        <w:ind w:left="720"/>
      </w:pPr>
      <w:r/>
      <w:hyperlink r:id="rId11">
        <w:r>
          <w:rPr>
            <w:color w:val="0000EE"/>
            <w:u w:val="single"/>
          </w:rPr>
          <w:t>https://www.ft.com/content/71b2e681-0a8f-4c7c-b698-df918af64764</w:t>
        </w:r>
      </w:hyperlink>
      <w:r>
        <w:t xml:space="preserve"> - Despite escalating tensions following Israel's attack on Iranian nuclear facilities leading to missile exchanges, oil prices have not surged dramatically. Experts suggest this is due to Iran's relatively weaker geopolitical and economic position, tacit US backing for Israel, and a slowing global economy, contrasting with the broader impacts observed during Russia’s invasion of Ukraine. While potential disruptions in oil supply, especially if the conflict targets Iran's export infrastructure or escalates into a regional war, could trigger sharp price increases, current market behaviour reflects a belief that such outcomes remain low probability. Markets also appear desensitised to Middle Eastern tensions due to recent history of restrained price responses.</w:t>
      </w:r>
      <w:r/>
    </w:p>
    <w:p>
      <w:pPr>
        <w:pStyle w:val="ListNumber"/>
        <w:spacing w:line="240" w:lineRule="auto"/>
        <w:ind w:left="720"/>
      </w:pPr>
      <w:r/>
      <w:hyperlink r:id="rId12">
        <w:r>
          <w:rPr>
            <w:color w:val="0000EE"/>
            <w:u w:val="single"/>
          </w:rPr>
          <w:t>https://www.ft.com/content/83bf1257-6553-4b9f-80f9-5717eb92f435</w:t>
        </w:r>
      </w:hyperlink>
      <w:r>
        <w:t xml:space="preserve"> - Geopolitical risks, especially those involving the Middle East, have historically driven short-term spikes in global oil prices, though the long-term impacts are often less severe than feared. The recent escalation in the Israel-Iran conflict, marked by Israeli strikes on Iran's nuclear and oil infrastructure, caused oil prices to initially rise by up to 12%. Iran’s output of 3.3 million barrels per day is significant, but potential production increases from countries like Saudi Arabia and the UAE may offset this. Historical data, including from the European Central Bank and the Federal Reserve Bank of Dallas, suggest geopolitical shocks raise oil prices through the risk channel in the short term but are often followed by economic slowdowns that temper demand and prices. Notable exceptions include the oil crises of 1973 and 1979, which led to U.S. recessions. However, recent studies indicate that even major supply risks might only slightly impact global GDP. Equity markets also generally recover from geopolitical shocks unless the disruption is prolonged or severe. Ultimately, the duration and intensity of the Israel-Iran conflict will determine its broader economic impact, with history suggesting limited fallout unless a major supply route like the Strait of Hormuz is disrupted.</w:t>
      </w:r>
      <w:r/>
    </w:p>
    <w:p>
      <w:pPr>
        <w:pStyle w:val="ListNumber"/>
        <w:spacing w:line="240" w:lineRule="auto"/>
        <w:ind w:left="720"/>
      </w:pPr>
      <w:r/>
      <w:hyperlink r:id="rId10">
        <w:r>
          <w:rPr>
            <w:color w:val="0000EE"/>
            <w:u w:val="single"/>
          </w:rPr>
          <w:t>https://apnews.com/article/88b615235d34fd7e9ca3a6cef2763513</w:t>
        </w:r>
      </w:hyperlink>
      <w:r>
        <w:t xml:space="preserve"> - The European Central Bank (ECB) paused its series of interest rate hikes on Thursday for the first time in over a year amidst growing concerns over the impact of the Israel-Hamas war on the economy. This move follows 10 consecutive rate increases since July 2022, bringing the rate to a peak of 4%. Despite a decline in inflation to 4.3% in September, ECB President Christine Lagarde emphasised the need for maintaining high rates to reduce inflation to the target of 2%. She did not rule out further increases depending on inflation's trajectory. The ECB's decision aligns with other central banks like the U.S. Federal Reserve and the Bank of England, which have also held rates steady recently. The economic outlook remains bleak with slowing growth and potential recession risks, exacerbated by ongoing geopolitical tensions and dependencies on imported energy. Forecasts predict minimal or negative economic growth in the eurozone for the remainder of the year.</w:t>
      </w:r>
      <w:r/>
    </w:p>
    <w:p>
      <w:pPr>
        <w:pStyle w:val="ListNumber"/>
        <w:spacing w:line="240" w:lineRule="auto"/>
        <w:ind w:left="720"/>
      </w:pPr>
      <w:r/>
      <w:hyperlink r:id="rId13">
        <w:r>
          <w:rPr>
            <w:color w:val="0000EE"/>
            <w:u w:val="single"/>
          </w:rPr>
          <w:t>https://www.reuters.com/markets/europe/ecb-could-have-curbed-inflation-with-earlier-rate-hikes-diw-says-2024-10-16/</w:t>
        </w:r>
      </w:hyperlink>
      <w:r>
        <w:t xml:space="preserve"> - According to a study by the German Institute for Economic Research (DIW), the European Central Bank (ECB) could have mitigated inflation in the eurozone by raising interest rates earlier. The study suggested that starting to increase key interest rates from mid-2021 would have limited inflation to around 3% rather than exceeding 10% in August 2022. The ECB initially refrained from raising rates despite rising inflation and only ended its zero interest rate policy in July 2022. The study's author, Ben Schumann, argued that the ECB underestimated the influence of monetary policy on energy prices, claiming that higher interest rates would have reduced energy demand and appreciated the euro against the dollar, thereby decreasing energy prices. While ECB policymakers acknowledged that rate hikes could have been more timely, they also emphasised the bank's subsequent significant moves to curb inflation. The ECB's delayed response partly stemmed from concerns about the economic situation and financial stability in many eurozone countries following the COVID-19 pandemic. Overall, earlier rate increases would have reduced inflation but also temporarily lowered eurozone GDP.</w:t>
      </w:r>
      <w:r/>
    </w:p>
    <w:p>
      <w:pPr>
        <w:pStyle w:val="ListNumber"/>
        <w:spacing w:line="240" w:lineRule="auto"/>
        <w:ind w:left="720"/>
      </w:pPr>
      <w:r/>
      <w:hyperlink r:id="rId14">
        <w:r>
          <w:rPr>
            <w:color w:val="0000EE"/>
            <w:u w:val="single"/>
          </w:rPr>
          <w:t>https://www.ft.com/content/48ac410b-b38f-40f6-9ea4-06f1e106ce20</w:t>
        </w:r>
      </w:hyperlink>
      <w:r>
        <w:t xml:space="preserve"> - Central banks globally are experiencing unprecedented interest rate policy divergence, with Europe particularly characterised by earlier and greater rate cuts compared to the U.S. The Federal Reserve's expected single cut contrasts starkly with the anticipated actions of the European Central Bank and the Bank of England amidst weaker economic conditions on the continent. Germany and the UK’s tepid growth projections further underscore the need for invigorating Europe's economic strategies, potentially through pan-European initiatives in areas like AI and sustainable energy. However, significant rate differentials might lead to adverse effects, such as detrimental currency depreciation and subsequent imported inflation, highlighting the limits of this decoupling strategy. The Fed's decisions, largely influenced by domestic priorities, show little inclination to assist Europe’s dilemmas, emphasising Europe may find limits in rate divergence by year's end.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alkinemedia.com/uk/news/market-updates/middle-east-tensions-weigh-on-european-markets-central-bank-decisions-awaited" TargetMode="External"/><Relationship Id="rId10" Type="http://schemas.openxmlformats.org/officeDocument/2006/relationships/hyperlink" Target="https://apnews.com/article/88b615235d34fd7e9ca3a6cef2763513" TargetMode="External"/><Relationship Id="rId11" Type="http://schemas.openxmlformats.org/officeDocument/2006/relationships/hyperlink" Target="https://www.ft.com/content/71b2e681-0a8f-4c7c-b698-df918af64764" TargetMode="External"/><Relationship Id="rId12" Type="http://schemas.openxmlformats.org/officeDocument/2006/relationships/hyperlink" Target="https://www.ft.com/content/83bf1257-6553-4b9f-80f9-5717eb92f435" TargetMode="External"/><Relationship Id="rId13" Type="http://schemas.openxmlformats.org/officeDocument/2006/relationships/hyperlink" Target="https://www.reuters.com/markets/europe/ecb-could-have-curbed-inflation-with-earlier-rate-hikes-diw-says-2024-10-16/" TargetMode="External"/><Relationship Id="rId14" Type="http://schemas.openxmlformats.org/officeDocument/2006/relationships/hyperlink" Target="https://www.ft.com/content/48ac410b-b38f-40f6-9ea4-06f1e106ce2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