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the 7/7 attacks reshaped UK counterterrorism and civil liberties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the morning of July 7, 2005, London was plunged into chaos by a coordinated series of suicide bombings that targeted the city’s public transport system. In under two hours, 52 people were killed and over 700 injured as three bombs detonated almost simultaneously on the London Underground during rush hour, followed shortly by a fourth explosion on a double-decker bus in Tavistock Square. The scale of the violence marked Britain’s deadliest terrorist attack in decades, but the true shock lay not just in the devastation but in the identity of the perpetrators—all four were British citizens, radicalised domestically within communities in West Yorkshire.</w:t>
      </w:r>
      <w:r/>
    </w:p>
    <w:p>
      <w:r/>
      <w:r>
        <w:t>This brutal revelation shattered prevailing assumptions about terrorism in the UK, which had long focused on threats emerging from abroad. The 7/7 attacks underscored that dangers could arise from within, forcing a fundamental reassessment of national security, intelligence methodologies, and community relations. A decade and a half later, the reverberations of that day continue to shape policies and public consciousness across the country.</w:t>
      </w:r>
      <w:r/>
    </w:p>
    <w:p>
      <w:r/>
      <w:r>
        <w:t>One of the clearest lessons was the urgent need to overhaul intelligence operations. It emerged that MI5 had been aware of at least one bomber, Mohammad Sidique Khan, yet had underestimated the threat he posed. This misjudgment exposed the outdated focus of intelligence services that had predominantly targeted external threats. Post-7/7, Britain’s intelligence landscape transformed with the creation of the Joint Terrorism Analysis Centre, improved intelligence sharing, and a pivot toward understanding radicalisation pathways and predicting rather than merely reacting to terrorism.</w:t>
      </w:r>
      <w:r/>
    </w:p>
    <w:p>
      <w:r/>
      <w:r>
        <w:t>In direct response to the attacks, the government unveiled CONTEST, a comprehensive counterterrorism strategy structured around four pillars: Pursue, Prevent, Protect, and Prepare. Pursue aims to halt attacks before they occur, Protect strengthens potential targets, Prepare equips the country for swift recovery, and Prevent focuses on stopping radicalisation at its roots. While broadly pivotal, Prevent has sparked significant controversy. The strategy's early emphasis on working with schools and communities to identify and intervene against extremism was perceived by many as discriminatory, disproportionately targeting British Muslim communities and fostering suspicion. Despite reforms expanding its remit to address far-right extremism and increasing voluntary participation, Prevent remains a subject of heated debate, reflecting the delicate balance between security imperatives and civil liberties.</w:t>
      </w:r>
      <w:r/>
    </w:p>
    <w:p>
      <w:r/>
      <w:r>
        <w:t>The UK’s embrace of extensive surveillance also intensified after 2005. Already among the most monitored cities globally, London saw an explosion in CCTV coverage and legislation, such as the Investigatory Powers Act 2016, which broadened the government’s ability to monitor digital communications. Advocates argue these measures are necessary to maintain safety, but critics warn they risk eroding privacy and heading towards authoritarian oversight. This enduring tension between surveillance and individual freedoms remains unresolved.</w:t>
      </w:r>
      <w:r/>
    </w:p>
    <w:p>
      <w:r/>
      <w:r>
        <w:t>The attacks revealed glaring gaps in emergency preparedness and response coordination. Communication systems failed underground, ambulance access was insufficient, and command structures were unclear—critical issues for effective crisis management. Subsequent years witnessed substantial improvements: installation of underground radio boosters, joint emergency training exercises, streamlined protocols, and public education campaigns like "Run, Hide, Tell," empowering individuals to act decisively in terror situations. This evolution underscores the hard-earned recognition that survival often depends on rapid action by both responders and the public.</w:t>
      </w:r>
      <w:r/>
    </w:p>
    <w:p>
      <w:r/>
      <w:r>
        <w:t>While the 7/7 bombers had been radicalised through offline means, including local networks and extreme literature, the emergence of the internet as a dominant recruitment tool for terrorism soon became apparent. The UK’s establishment of the Counter-Terrorism Internet Referral Unit tasked with removing extremist content from digital platforms marked a significant effort to curb online radicalisation. Legislative initiatives like the Online Safety Bill seek to hold technology companies accountable, yet the dynamic and diffuse nature of online extremism means this fight remains complex and ongoing.</w:t>
      </w:r>
      <w:r/>
    </w:p>
    <w:p>
      <w:r/>
      <w:r>
        <w:t>Perhaps the defining legacy of 7/7 lies in the collective resilience demonstrated by Londoners in the aftermath. Instead of succumbing to fear or retaliation, the city swiftly returned to normalcy—vigilant yet undeterred, encapsulated in the defiant slogan “We Are Not Afraid.” This stoic, measured response contrasted with other international reactions and emphasised unity and defiance over spectacle or vengeance. However, isolated backlash incidents, mainly targeting Muslim communities, highlighted the challenges of maintaining social cohesion after such trauma.</w:t>
      </w:r>
      <w:r/>
    </w:p>
    <w:p>
      <w:r/>
      <w:r>
        <w:t>Legal and policy changes followed swiftly. The Terrorism Act 2006 expanded powers for law enforcement, extended detention periods, and criminalised the glorification of terrorism. Enhanced immigration and visa controls, despite the bombers being British-born, linked national security with border management in public discourse, influencing broader political trends that would later intersect with debates around Brexit.</w:t>
      </w:r>
      <w:r/>
    </w:p>
    <w:p>
      <w:r/>
      <w:r>
        <w:t>Central to the UK’s counterterrorism evolution is the recognition that combating extremism requires partnership with affected communities. Post-7/7 initiatives sought to engage rather than surveil local populations, fostering dialogue and trust through collaborations with mosques, youth groups, and former extremists. While progress has been uneven and trust fragile, community involvement remains regarded as the most sustainable long-term defence against radicalisation.</w:t>
      </w:r>
      <w:r/>
    </w:p>
    <w:p>
      <w:r/>
      <w:r>
        <w:t>Looking back, the UK’s experience since 7/7 teaches that terrorism is not solely an external threat but can emerge from within, demanding adaptive intelligence, comprehensive strategies, and a careful balancing of security and rights. As extremism evolves—now increasingly characterised by lone actors, conspiracies, and ideologies defying simple categorisation—the fundamental principles of vigilance, resilience, and unity endure as the nation’s best safeguards. The real question for 2025 and beyond is whether these lessons continue to guide policy and public consciousness effectively in an ever-shifting threat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[2]</w:t>
        </w:r>
      </w:hyperlink>
      <w:r>
        <w:t xml:space="preserve">, </w:t>
      </w:r>
      <w:hyperlink r:id="rId15">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1">
        <w:r>
          <w:rPr>
            <w:color w:val="0000EE"/>
            <w:u w:val="single"/>
          </w:rPr>
          <w:t>[2]</w:t>
        </w:r>
      </w:hyperlink>
      <w:r>
        <w:t xml:space="preserve">, </w:t>
      </w:r>
      <w:hyperlink r:id="rId15">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11 – </w:t>
      </w:r>
      <w:hyperlink r:id="rId9">
        <w:r>
          <w:rPr>
            <w:color w:val="0000EE"/>
            <w:u w:val="single"/>
          </w:rPr>
          <w:t>[1]</w:t>
        </w:r>
      </w:hyperlink>
      <w:r>
        <w:t xml:space="preserve">, </w:t>
      </w:r>
      <w:hyperlink r:id="rId11">
        <w:r>
          <w:rPr>
            <w:color w:val="0000EE"/>
            <w:u w:val="single"/>
          </w:rPr>
          <w:t>[2]</w:t>
        </w:r>
      </w:hyperlink>
      <w:r>
        <w:t xml:space="preserve">, </w:t>
      </w:r>
      <w:hyperlink r:id="rId15">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12 – </w:t>
      </w:r>
      <w:hyperlink r:id="rId9">
        <w:r>
          <w:rPr>
            <w:color w:val="0000EE"/>
            <w:u w:val="single"/>
          </w:rPr>
          <w:t>[1]</w:t>
        </w:r>
      </w:hyperlink>
      <w:r>
        <w:t xml:space="preserve">, </w:t>
      </w:r>
      <w:hyperlink r:id="rId11">
        <w:r>
          <w:rPr>
            <w:color w:val="0000EE"/>
            <w:u w:val="single"/>
          </w:rPr>
          <w:t>[2]</w:t>
        </w:r>
      </w:hyperlink>
      <w:r>
        <w:t xml:space="preserve">, </w:t>
      </w:r>
      <w:hyperlink r:id="rId15">
        <w:r>
          <w:rPr>
            <w:color w:val="0000EE"/>
            <w:u w:val="single"/>
          </w:rPr>
          <w:t>[5]</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https://vocal.media/history/20-years-after-7-7-what-the-uk-learned-from-the-london-terror-attacks</w:t>
        </w:r>
      </w:hyperlink>
      <w:r>
        <w:t xml:space="preserve"> - Please view link - unable to able to access data</w:t>
      </w:r>
      <w:r/>
    </w:p>
    <w:p>
      <w:pPr>
        <w:pStyle w:val="ListNumber"/>
        <w:spacing w:line="240" w:lineRule="auto"/>
        <w:ind w:left="720"/>
      </w:pPr>
      <w:r/>
      <w:hyperlink r:id="rId11">
        <w:r>
          <w:rPr>
            <w:color w:val="0000EE"/>
            <w:u w:val="single"/>
          </w:rPr>
          <w:t>https://www.theguardian.com/uk/2011/may/06/seven-lessons-7-july-bombings</w:t>
        </w:r>
      </w:hyperlink>
      <w:r>
        <w:t xml:space="preserve"> - This article discusses seven key lessons learned from the 7 July 2005 London bombings, including the need for improved emergency response coordination, better intelligence sharing, and enhanced community engagement to prevent radicalisation. It highlights the importance of understanding the complex factors leading to radicalisation and the necessity of a comprehensive approach to counter-terrorism.</w:t>
      </w:r>
      <w:r/>
    </w:p>
    <w:p>
      <w:pPr>
        <w:pStyle w:val="ListNumber"/>
        <w:spacing w:line="240" w:lineRule="auto"/>
        <w:ind w:left="720"/>
      </w:pPr>
      <w:r/>
      <w:hyperlink r:id="rId13">
        <w:r>
          <w:rPr>
            <w:color w:val="0000EE"/>
            <w:u w:val="single"/>
          </w:rPr>
          <w:t>https://www.bbc.com/news/uk-33388286</w:t>
        </w:r>
      </w:hyperlink>
      <w:r>
        <w:t xml:space="preserve"> - This BBC News article outlines 15 changes to anti-terrorism planning in the UK following the 7 July 2005 bombings. These include redesigning train station approaches to mitigate vehicle threats, establishing regional MI5 hubs, improving intelligence sharing, and enhancing digital data gathering to monitor online extremist activities.</w:t>
      </w:r>
      <w:r/>
    </w:p>
    <w:p>
      <w:pPr>
        <w:pStyle w:val="ListNumber"/>
        <w:spacing w:line="240" w:lineRule="auto"/>
        <w:ind w:left="720"/>
      </w:pPr>
      <w:r/>
      <w:hyperlink r:id="rId14">
        <w:r>
          <w:rPr>
            <w:color w:val="0000EE"/>
            <w:u w:val="single"/>
          </w:rPr>
          <w:t>https://www.theguardian.com/uk/2006/sep/22/politics.society</w:t>
        </w:r>
      </w:hyperlink>
      <w:r>
        <w:t xml:space="preserve"> - This report examines the shortcomings in the UK's response to the 7 July 2005 bombings, highlighting issues such as communication failures, delays in emergency services, and the need for continuous improvement in national preparedness for future attacks. It emphasizes the importance of involving all sectors of society in building resilience.</w:t>
      </w:r>
      <w:r/>
    </w:p>
    <w:p>
      <w:pPr>
        <w:pStyle w:val="ListNumber"/>
        <w:spacing w:line="240" w:lineRule="auto"/>
        <w:ind w:left="720"/>
      </w:pPr>
      <w:r/>
      <w:hyperlink r:id="rId15">
        <w:r>
          <w:rPr>
            <w:color w:val="0000EE"/>
            <w:u w:val="single"/>
          </w:rPr>
          <w:t>https://www.theguardian.com/uk-news/2015/jul/07/77-bombs-london-memorial-10-years</w:t>
        </w:r>
      </w:hyperlink>
      <w:r>
        <w:t xml:space="preserve"> - This article commemorates the 10th anniversary of the 7 July 2005 London bombings, reflecting on the lessons learned and the ongoing threat of terrorism. It discusses the importance of resilience, the role of intelligence agencies, and the need for continued vigilance in the face of evolving threats.</w:t>
      </w:r>
      <w:r/>
    </w:p>
    <w:p>
      <w:pPr>
        <w:pStyle w:val="ListNumber"/>
        <w:spacing w:line="240" w:lineRule="auto"/>
        <w:ind w:left="720"/>
      </w:pPr>
      <w:r/>
      <w:hyperlink r:id="rId10">
        <w:r>
          <w:rPr>
            <w:color w:val="0000EE"/>
            <w:u w:val="single"/>
          </w:rPr>
          <w:t>https://www.cnn.com/2015/07/07/europe/uk-london-terror-attack-anniversary/index.html</w:t>
        </w:r>
      </w:hyperlink>
      <w:r>
        <w:t xml:space="preserve"> - CNN's coverage of the 10th anniversary of the 7 July 2005 London bombings highlights the events of that day, the impact on the city, and the lessons learned. It includes reflections from survivors, officials, and the public on the importance of unity and resilience in the face of terrorism.</w:t>
      </w:r>
      <w:r/>
    </w:p>
    <w:p>
      <w:pPr>
        <w:pStyle w:val="ListNumber"/>
        <w:spacing w:line="240" w:lineRule="auto"/>
        <w:ind w:left="720"/>
      </w:pPr>
      <w:r/>
      <w:hyperlink r:id="rId12">
        <w:r>
          <w:rPr>
            <w:color w:val="0000EE"/>
            <w:u w:val="single"/>
          </w:rPr>
          <w:t>https://www.time.com/3947582/london-bombings-7-july-tenth-anniversary-terrorist-attack/</w:t>
        </w:r>
      </w:hyperlink>
      <w:r>
        <w:t xml:space="preserve"> - Time magazine's article on the 10th anniversary of the 7 July 2005 London bombings provides an overview of the attacks, the investigation that followed, and the lessons learned. It discusses the impact on national security policies, community relations, and the ongoing efforts to prevent future attacks.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vocal.media/history/20-years-after-7-7-what-the-uk-learned-from-the-london-terror-attacks" TargetMode="External"/><Relationship Id="rId10" Type="http://schemas.openxmlformats.org/officeDocument/2006/relationships/hyperlink" Target="https://www.cnn.com/2015/07/07/europe/uk-london-terror-attack-anniversary/index.html" TargetMode="External"/><Relationship Id="rId11" Type="http://schemas.openxmlformats.org/officeDocument/2006/relationships/hyperlink" Target="https://www.theguardian.com/uk/2011/may/06/seven-lessons-7-july-bombings" TargetMode="External"/><Relationship Id="rId12" Type="http://schemas.openxmlformats.org/officeDocument/2006/relationships/hyperlink" Target="https://www.time.com/3947582/london-bombings-7-july-tenth-anniversary-terrorist-attack/" TargetMode="External"/><Relationship Id="rId13" Type="http://schemas.openxmlformats.org/officeDocument/2006/relationships/hyperlink" Target="https://www.bbc.com/news/uk-33388286" TargetMode="External"/><Relationship Id="rId14" Type="http://schemas.openxmlformats.org/officeDocument/2006/relationships/hyperlink" Target="https://www.theguardian.com/uk/2006/sep/22/politics.society" TargetMode="External"/><Relationship Id="rId15" Type="http://schemas.openxmlformats.org/officeDocument/2006/relationships/hyperlink" Target="https://www.theguardian.com/uk-news/2015/jul/07/77-bombs-london-memorial-10-yea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