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UK housing markets outpace London amid affordability crisis and policy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the UK housing market is witnessing an unprecedented regional divergence, breaking away from the decade-long trend of London-centric growth. Investors are now eyeing northern cities and regions where affordability, demographic advantages, supportive policies, and infrastructure investments combine to fuel robust housing market performances, contrasting sharply with London’s stagnation and structural hurdles.</w:t>
      </w:r>
      <w:r/>
    </w:p>
    <w:p>
      <w:r/>
      <w:r>
        <w:t>London’s housing market, once the powerhouse of national real estate growth, faces mounting challenges. In the first quarter of 2025, average house prices in the capital declined by 0.5%, compounded by a dramatic 70% reduction in private housing project starts compared to the previous year. This downturn is attributed to a worsening affordability crisis aggravated by high rents and regulatory pressures. The impending Building Safety Levy, set for launch in Autumn 2026, is expected to escalate costs further for developers, tightening supply. Moreover, the stamp duty changes introduced in late 2024 briefly spiked transactions but now contribute to a market lull. Despite steady mortgage approval rates, the Royal Institution of Chartered Surveyors (RICS) survey highlights a significant dip in buyer enquiry, with a net balance of -33%, signalling a cooling market. High entry costs and regulatory uncertainty are increasingly deterring investors from London, while the reduced new development pipeline signals prolonged supply constraints.</w:t>
      </w:r>
      <w:r/>
    </w:p>
    <w:p>
      <w:r/>
      <w:r>
        <w:t>In stark contrast, northern regions showcase strong growth trajectories and promising opportunities. Northern Ireland led the charge with a 4.1% price increase in Q1 2025, followed by the North-West, West Midlands, and Yorkshire, each registering growth rates between 1.8% and 2%. These regions have outpaced London’s performance by 20-30%, with projections suggesting a national housing price growth of 23% over the next five years, and northern powerhouses like the North-West and North-East expected to reach as high as 29%.</w:t>
      </w:r>
      <w:r/>
    </w:p>
    <w:p>
      <w:r/>
      <w:r>
        <w:t>Several northern cities offer compelling case studies for investors. Derby, with an average house price of £199,000 and a ten-year price growth of 55%, benefits from strong manufacturing anchors like Rolls Royce and Bombardier and forward-looking urban plans aiming to increase its population significantly by 2037. Bradford’s designation as the UK City of Culture 2025 is stimulating regeneration and boosting rental demand through cultural projects and job creation. Glasgow, buoyed by a £400 million City Deal for infrastructure, boasts the highest rental yield among these cities at 8.18%, alongside ambitious population growth plans. Sunderland stands out with its affordability—average prices at £142,000—and a well-funded public-private investment portfolio, including a growing tech sector and smart city initiatives.</w:t>
      </w:r>
      <w:r/>
    </w:p>
    <w:p>
      <w:r/>
      <w:r>
        <w:t>Policy backing accelerates northern growth. The UK government’s £16 billion National Housing Bank aims to unlock £53 billion in private investments for the North, complemented by a £39 billion affordable housing fund accelerating development in areas like Yorkshire and the West Midlands. Devolution of planning powers to local councils also promises streamlined approvals, though risks remain due to uneven implementation.</w:t>
      </w:r>
      <w:r/>
    </w:p>
    <w:p>
      <w:r/>
      <w:r>
        <w:t>For investors, northern markets present an "affordability arbitrage" against London’s inflated pricing. Entry costs are 30-50% lower, and rental yields range between 4-8%, markedly higher than London’s approximate 2.5%. Market participants should focus on regions benefiting from explicit government funding and reforms, such as Wakefield’s regeneration projects. Demographic trends further support demand: cities like Derby have youthful populations where nearly half are under 35, and university towns like Leicester benefit from significant student inflows. Infrastructure projects, including HS2 expansions and Birmingham’s regeneration, promise enhanced economic prospects and connectivity, reinforcing long-term value growth.</w:t>
      </w:r>
      <w:r/>
    </w:p>
    <w:p>
      <w:r/>
      <w:r>
        <w:t>Nevertheless, risks persist. Delays in planning reform rollouts, potential regional supply bottlenecks, and interest rate uncertainties must be factored into investment strategies. Diversifying portfolios across multiple northern cities and prioritizing those with clear government support can help mitigate these risks.</w:t>
      </w:r>
      <w:r/>
    </w:p>
    <w:p>
      <w:r/>
      <w:r>
        <w:t>This regional realignment in the UK housing market is more than a transient cycle; it represents a fundamental shift in investment dynamics. As London's market faces ongoing affordability and regulatory pressures, northern England, alongside Scotland and Northern Ireland, emerges as a fertile ground for capitalising on housing growth. For 2025 and beyond, aligning investment strategies with policy-driven growth, demographic momentum, and infrastructural enhancements will be key to capturing long-term opportunities outside the London epicentre.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https://www.ainvest.com/news/capitalizing-uk-post-london-housing-boom-guide-regional-divergence-2507/</w:t>
        </w:r>
      </w:hyperlink>
      <w:r>
        <w:t xml:space="preserve"> - Please view link - unable to able to access data</w:t>
      </w:r>
      <w:r/>
    </w:p>
    <w:p>
      <w:pPr>
        <w:pStyle w:val="ListNumber"/>
        <w:spacing w:line="240" w:lineRule="auto"/>
        <w:ind w:left="720"/>
      </w:pPr>
      <w:r/>
      <w:hyperlink r:id="rId10">
        <w:r>
          <w:rPr>
            <w:color w:val="0000EE"/>
            <w:u w:val="single"/>
          </w:rPr>
          <w:t>https://www.ainvest.com/news/uk-housing-regional-divide-case-northern-opportunities-2507/</w:t>
        </w:r>
      </w:hyperlink>
      <w:r>
        <w:t xml:space="preserve"> - This article discusses the UK's housing market in 2025, highlighting a regional divergence where northern regions, including the North East and Yorkshire and the Humber, are experiencing significant growth, while London and the South West face stagnation. It emphasizes the affordability and investment opportunities in the North, citing specific cities like Derby, Bradford, Glasgow, and Sunderland as prime targets for investors seeking long-term value creation.</w:t>
      </w:r>
      <w:r/>
    </w:p>
    <w:p>
      <w:pPr>
        <w:pStyle w:val="ListNumber"/>
        <w:spacing w:line="240" w:lineRule="auto"/>
        <w:ind w:left="720"/>
      </w:pPr>
      <w:r/>
      <w:hyperlink r:id="rId14">
        <w:r>
          <w:rPr>
            <w:color w:val="0000EE"/>
            <w:u w:val="single"/>
          </w:rPr>
          <w:t>https://www.gov.uk/government/news/uk-house-price-index-for-may-2025</w:t>
        </w:r>
      </w:hyperlink>
      <w:r>
        <w:t xml:space="preserve"> - The UK House Price Index for May 2025 reports a 1.1% increase in average house prices since April 2025, with an annual rise of 3.9%, bringing the average property value to £269,000. Regionally, Yorkshire and the Humber experienced the most significant monthly increase at 2.4%, while London saw a decline of 1.4%. The North East led in annual growth with a 6.3% rise.</w:t>
      </w:r>
      <w:r/>
    </w:p>
    <w:p>
      <w:pPr>
        <w:pStyle w:val="ListNumber"/>
        <w:spacing w:line="240" w:lineRule="auto"/>
        <w:ind w:left="720"/>
      </w:pPr>
      <w:r/>
      <w:hyperlink r:id="rId15">
        <w:r>
          <w:rPr>
            <w:color w:val="0000EE"/>
            <w:u w:val="single"/>
          </w:rPr>
          <w:t>https://www.gov.uk/government/news/uk-house-price-index-for-april-2025</w:t>
        </w:r>
      </w:hyperlink>
      <w:r>
        <w:t xml:space="preserve"> - The UK House Price Index for April 2025 indicates a 2.8% decrease in average house prices since March 2025, with an annual rise of 3.5%, making the average property valued at £265,000. London experienced the most significant monthly increase at 2.6%, while the North East saw the largest monthly price fall at -8.1%. The North East also led in annual price growth with a 6.4% increase.</w:t>
      </w:r>
      <w:r/>
    </w:p>
    <w:p>
      <w:pPr>
        <w:pStyle w:val="ListNumber"/>
        <w:spacing w:line="240" w:lineRule="auto"/>
        <w:ind w:left="720"/>
      </w:pPr>
      <w:r/>
      <w:hyperlink r:id="rId16">
        <w:r>
          <w:rPr>
            <w:color w:val="0000EE"/>
            <w:u w:val="single"/>
          </w:rPr>
          <w:t>https://www.gov.uk/government/news/uk-house-price-index-for-march-2025</w:t>
        </w:r>
      </w:hyperlink>
      <w:r>
        <w:t xml:space="preserve"> - The UK House Price Index for March 2025 shows a 1.1% rise in average house prices since February 2025, with an annual increase of 6.4%, bringing the average property value to £271,000. The North East experienced the most significant monthly increase at 4.2%, while London saw a decline of 0.3%. The North East also led in annual growth with a 14.3% rise.</w:t>
      </w:r>
      <w:r/>
    </w:p>
    <w:p>
      <w:pPr>
        <w:pStyle w:val="ListNumber"/>
        <w:spacing w:line="240" w:lineRule="auto"/>
        <w:ind w:left="720"/>
      </w:pPr>
      <w:r/>
      <w:hyperlink r:id="rId11">
        <w:r>
          <w:rPr>
            <w:color w:val="0000EE"/>
            <w:u w:val="single"/>
          </w:rPr>
          <w:t>https://www.gov.uk/government/news/uk-house-price-index-for-february-2025</w:t>
        </w:r>
      </w:hyperlink>
      <w:r>
        <w:t xml:space="preserve"> - The UK House Price Index for February 2025 reports no change in average house prices since January 2025, with an annual rise of 5.4%, making the average property valued at £268,000. Yorkshire and the Humber experienced the most significant monthly increase at 1.6%, while London saw the greatest monthly price fall at -1.1%. The North West led in annual price growth with an 8% increase.</w:t>
      </w:r>
      <w:r/>
    </w:p>
    <w:p>
      <w:pPr>
        <w:pStyle w:val="ListNumber"/>
        <w:spacing w:line="240" w:lineRule="auto"/>
        <w:ind w:left="720"/>
      </w:pPr>
      <w:r/>
      <w:hyperlink r:id="rId12">
        <w:r>
          <w:rPr>
            <w:color w:val="0000EE"/>
            <w:u w:val="single"/>
          </w:rPr>
          <w:t>https://www.lloydsbankinggroup.com/media/press-releases/2024/halifax-2024/halifax-reveals-2024s-regional-rises-and-falls.html</w:t>
        </w:r>
      </w:hyperlink>
      <w:r>
        <w:t xml:space="preserve"> - Halifax's report reveals that Stoke-on-Trent experienced the highest house price growth in the UK, with a 17.2% increase in the 12 months to September 2024. Slough and Oldham followed with rises of 14.9% and 14.6%, respectively. Conversely, Huddersfield saw the largest decline at -6.6%. Regionally, the South East had the smallest percentage growth in average house prices at 1.8%.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invest.com/news/capitalizing-uk-post-london-housing-boom-guide-regional-divergence-2507/" TargetMode="External"/><Relationship Id="rId10" Type="http://schemas.openxmlformats.org/officeDocument/2006/relationships/hyperlink" Target="https://www.ainvest.com/news/uk-housing-regional-divide-case-northern-opportunities-2507/" TargetMode="External"/><Relationship Id="rId11" Type="http://schemas.openxmlformats.org/officeDocument/2006/relationships/hyperlink" Target="https://www.gov.uk/government/news/uk-house-price-index-for-february-2025" TargetMode="External"/><Relationship Id="rId12" Type="http://schemas.openxmlformats.org/officeDocument/2006/relationships/hyperlink" Target="https://www.lloydsbankinggroup.com/media/press-releases/2024/halifax-2024/halifax-reveals-2024s-regional-rises-and-falls.html" TargetMode="External"/><Relationship Id="rId13" Type="http://schemas.openxmlformats.org/officeDocument/2006/relationships/hyperlink" Target="https://www.noahwire.com" TargetMode="External"/><Relationship Id="rId14" Type="http://schemas.openxmlformats.org/officeDocument/2006/relationships/hyperlink" Target="https://www.gov.uk/government/news/uk-house-price-index-for-may-2025" TargetMode="External"/><Relationship Id="rId15" Type="http://schemas.openxmlformats.org/officeDocument/2006/relationships/hyperlink" Target="https://www.gov.uk/government/news/uk-house-price-index-for-april-2025" TargetMode="External"/><Relationship Id="rId16" Type="http://schemas.openxmlformats.org/officeDocument/2006/relationships/hyperlink" Target="https://www.gov.uk/government/news/uk-house-price-index-for-march-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