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Generational politics on a Bloomsbury dinner table expose deep divides on migration, Gaza and gender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They met at Riding House in Bloomsbury — a modern European restaurant whose menus change with the seasons — and, for two hours over salt and pepper squid, cod loin and a sourdough margherita pizza washed down with a Romanian red, laid out opposing frames for how to think about the nation and its future. The encounter, arranged as part of a Guardian series that pairs strangers from different political backgrounds, brought together Michael, a 38‑year‑old data engineer who began his working life as a history teacher, and Sophia, a 19‑year‑old student and campaigner for the Workers party. According to the original report, their conversation ranged from migration and economics to Gaza and gender politics. (Riding House describes itself online as offering seasonally rotating set menus across several London locations.) </w:t>
      </w:r>
      <w:r/>
    </w:p>
    <w:p>
      <w:r/>
      <w:r>
        <w:t xml:space="preserve">Food, drink and first impressions framed the exchange. Michael told The Guardian he found Sophia “younger than I thought” and noted the communist pins she wore; Sophia said she had expected someone more rightwing and was surprised by his abstention from recent elections. Their meal — the dishes the paper records them eating — fitted the kind of modern European, bistronomy offering the restaurant presents in its public menus. </w:t>
      </w:r>
      <w:r/>
    </w:p>
    <w:p>
      <w:r/>
      <w:r>
        <w:t>The meeting quickly turned to migration, where the gulf between them was stark. Speaking to The Guardian, Michael argued that a government’s “first duty of care is to their own citizens” and that migration must “serve the interests of the people already here”; he described the experience of arriving legally from Canada and said the idea that people could simply “show up and not have to wait in line” felt wrong. Sophia countered that migrants are fleeing corruption, poverty and rights abuses and often have little real choice about leaving. She accused Michael of lacking empathy and said his viewpoint treated migrants as economic agents rather than people in desperate circumstances.</w:t>
      </w:r>
      <w:r/>
    </w:p>
    <w:p>
      <w:r/>
      <w:r>
        <w:t>Those personal claims sit against a more nuanced picture in the academic literature. A briefing from the Migration Observatory at Oxford notes that evidence shows small overall impacts of immigration on average wages and employment in the UK, while also stressing important variation by sector and skill level — with the clearest modest negative effects tending to fall on low‑paid workers in particular industries. The briefing also highlights methodological challenges in measuring short‑run and long‑run effects and points to gaps in the evidence that make blanket statements about migration’s consequences hazardous.</w:t>
      </w:r>
      <w:r/>
    </w:p>
    <w:p>
      <w:r/>
      <w:r>
        <w:t>Michael’s broader economic critique — that current migration patterns sustain a low‑wage labour market, inflate GDP metrics and benefit large corporations — was presented as his interpretation of how the system works. The Migration Observatory’s analysis does not dismiss concerns about sectoral distortions; it emphasises, however, that impacts are complex and uneven, and that policy responses need to account for local labour‑market dynamics rather than rely on sweeping generalisations. Sophia’s rebuttal, that recruiting professionals from poorer countries can damage those countries’ health systems and development prospects, reflected a familiar moral argument in public debate about brain drain versus sanctuary and opportunity.</w:t>
      </w:r>
      <w:r/>
    </w:p>
    <w:p>
      <w:r/>
      <w:r>
        <w:t>The pair also clashed over Israel and Palestine. Michael told The Guardian he did not “have a strong opinion” beyond finding the violence “atrocious.” Sophia framed the conflict as unjustifiable nationalist violence and rejected the two‑state approach, saying it would “reward Israel for what it’s done” and advocating instead for a single democratically governed state. Contextual explainer pieces on the diplomacy of the conflict note that the two‑state solution — conceived around the UN partition plan of 1947 and refined through subsequent negotiations — remains the reference point for many diplomats but faces major practical obstacles, including contested borders, the status of Jerusalem, refugees and settlement expansion. Sophia’s one‑state position is one of several competing visions for a just outcome; it reflects a strand of activism sceptical that partition can now achieve equitable or viable results.</w:t>
      </w:r>
      <w:r/>
    </w:p>
    <w:p>
      <w:r/>
      <w:r>
        <w:t>Gender and identity were another flashpoint. Michael said that “everybody should have the right to be left alone” and questioned legal rules around misgendering, while Sophia described herself as a gender abolitionist and said she finds labels empowering because they make identities “feel more real.” Britain’s legal framework remains limited in its formal recognition of non‑binary identities: the Gender Recognition Act 2004 recognises only male and female and does not provide a route for legal non‑binary recognition, though the Equality Act 2010 and subsequent case law offer some protections on grounds of gender reassignment. Parliamentary research briefings underline that questions about legal recognition, services and protections remain live and contested in Westminster.</w:t>
      </w:r>
      <w:r/>
    </w:p>
    <w:p>
      <w:r/>
      <w:r>
        <w:t>Despite the heat of some exchanges, the meeting ended without rancour. Michael later told The Guardian he berated himself for not walking away sooner and described the experience as “the most communist interrogation a guy can have without ending up with bamboo shoots under his nails.” Sophia said the parting was cordial and that they simply said goodbye. The vignette underlines how structured conversations across political difference can be civil yet leave deep disagreements intact — each participant interprets the same facts through different moral and economic priors.</w:t>
      </w:r>
      <w:r/>
    </w:p>
    <w:p>
      <w:r/>
      <w:r>
        <w:t>Small cultural touches underlined the generational gap: the paper notes Sophia can recite (and, when she’s been drinking, sing) the full lyrics to Billy Joel’s “We Didn’t Start the Fire,” a 1989 song whose rapid‑fire catalogue of historical references stretches from 1949 to 1989. The two hours at Riding House closed much as they began — over the residue of a meal and the quieter sense that, in a fragmented political moment, listening does not automatically lead to meeting in the middle.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4">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https://www.theguardian.com/lifeandstyle/2025/aug/17/dining-across-the-divide-michael-sophia</w:t>
        </w:r>
      </w:hyperlink>
      <w:r>
        <w:t xml:space="preserve"> - Please view link - unable to able to access data</w:t>
      </w:r>
      <w:r/>
    </w:p>
    <w:p>
      <w:pPr>
        <w:pStyle w:val="ListNumber"/>
        <w:spacing w:line="240" w:lineRule="auto"/>
        <w:ind w:left="720"/>
      </w:pPr>
      <w:r/>
      <w:hyperlink r:id="rId9">
        <w:r>
          <w:rPr>
            <w:color w:val="0000EE"/>
            <w:u w:val="single"/>
          </w:rPr>
          <w:t>https://www.theguardian.com/lifeandstyle/2025/aug/17/dining-across-the-divide-michael-sophia</w:t>
        </w:r>
      </w:hyperlink>
      <w:r>
        <w:t xml:space="preserve"> - Guardian's 'Dining across the divide' profiles Michael, a 38‑year‑old data engineer and former history teacher, and Sophia, a 19‑year‑old student and Workers party campaigner. Meeting at Riding House in London, they eat squid, cod and sourdough pizza while debating migration, economics, Gaza and gender politics. Michael, usually Conservative, emphasises national interests, legal migration and concerns about low‑wage labour; Sophia argues migrants flee corruption, poverty and rights abuses and favours solidarity and systemic change. They clash over Israel‑Palestine, with Sophia advocating a one‑state democratic solution and Michael taking a more neutral stance. The encounter ends civilly but unresolved and reflective afterwards.</w:t>
      </w:r>
      <w:r/>
    </w:p>
    <w:p>
      <w:pPr>
        <w:pStyle w:val="ListNumber"/>
        <w:spacing w:line="240" w:lineRule="auto"/>
        <w:ind w:left="720"/>
      </w:pPr>
      <w:r/>
      <w:hyperlink r:id="rId10">
        <w:r>
          <w:rPr>
            <w:color w:val="0000EE"/>
            <w:u w:val="single"/>
          </w:rPr>
          <w:t>https://www.riding.house/menus/</w:t>
        </w:r>
      </w:hyperlink>
      <w:r>
        <w:t xml:space="preserve"> - Riding House's official website outlines its menus, locations and opening times for Bloomsbury, Fitzrovia and Victoria branches. It presents seasonally changing breakfast, lunch, dinner and weekend brunch offerings, sample set menus and monthly specials, alongside drinks lists and group dining options. The site emphasises modern European cuisine, private dining, event hire, and accessibility information. Menus are available as PDFs per service and location, reflecting frequent updates and seasonal variation; the page directs customers to make reservations and join mailing lists for news and festive bookings. It provides practical details including addresses and meal times for each London venue and menus.</w:t>
      </w:r>
      <w:r/>
    </w:p>
    <w:p>
      <w:pPr>
        <w:pStyle w:val="ListNumber"/>
        <w:spacing w:line="240" w:lineRule="auto"/>
        <w:ind w:left="720"/>
      </w:pPr>
      <w:r/>
      <w:hyperlink r:id="rId11">
        <w:r>
          <w:rPr>
            <w:color w:val="0000EE"/>
            <w:u w:val="single"/>
          </w:rPr>
          <w:t>https://migrationobservatory.ox.ac.uk/resources/briefings/the-labour-market-effects-of-immigration/</w:t>
        </w:r>
      </w:hyperlink>
      <w:r>
        <w:t xml:space="preserve"> - The Migration Observatory at the University of Oxford provides a detailed briefing on the labour market effects of immigration in the UK. It summarises evidence showing small overall impacts on average wages and employment, while noting that effects vary across sectors and skill levels. Low‑paid workers may face modest negative impacts, whereas medium and high‑paid workers often see small gains. The briefing explains methodological challenges in measuring effects, distinguishes between short‑run and long‑run adjustments, and highlights research gaps. It also links to related briefings on fiscal impact, migrant workers and sectoral analyses, offering impartial analysis for policymakers and the public.</w:t>
      </w:r>
      <w:r/>
    </w:p>
    <w:p>
      <w:pPr>
        <w:pStyle w:val="ListNumber"/>
        <w:spacing w:line="240" w:lineRule="auto"/>
        <w:ind w:left="720"/>
      </w:pPr>
      <w:r/>
      <w:hyperlink r:id="rId14">
        <w:r>
          <w:rPr>
            <w:color w:val="0000EE"/>
            <w:u w:val="single"/>
          </w:rPr>
          <w:t>https://en.wikipedia.org/wiki/We_Didn%27t_Start_the_Fire</w:t>
        </w:r>
      </w:hyperlink>
      <w:r>
        <w:t xml:space="preserve"> - The Wikipedia entry for Billy Joel's 'We Didn't Start the Fire' outlines the song's 1989 release, its place on the album Storm Front, and its structure as a rapid‑fire list of historical references spanning 1949 to 1989. It covers chart performance, critical reception, and Joel's mixed feelings about the track, as well as subsequent cultural references and parodies. The article provides background on Joel's inspiration, recording credits, and the number of events listed in the lyrics, and situates the song within his wider career. It includes citations, chart data and links to related analyses and covers for further reading online.</w:t>
      </w:r>
      <w:r/>
    </w:p>
    <w:p>
      <w:pPr>
        <w:pStyle w:val="ListNumber"/>
        <w:spacing w:line="240" w:lineRule="auto"/>
        <w:ind w:left="720"/>
      </w:pPr>
      <w:r/>
      <w:hyperlink r:id="rId12">
        <w:r>
          <w:rPr>
            <w:color w:val="0000EE"/>
            <w:u w:val="single"/>
          </w:rPr>
          <w:t>https://theconversation.com/explainer-what-is-the-two-state-solution-to-the-israeli-palestinian-conflict-221872/</w:t>
        </w:r>
      </w:hyperlink>
      <w:r>
        <w:t xml:space="preserve"> - The Conversation's explainer describes the two‑state solution as a plan to create an independent Palestinian state alongside Israel, tracing its origins to UN Partition Plan 1947 and subsequent diplomatic efforts. It explains core issues such as borders, refugees, Jerusalem and settlements, and why the 1967 borders are central to many proposals. The piece outlines historical attempts at partition, the impact of wars and occupation, and why viability is challenged by settlement expansion and political disagreement. It offers accessible context on competing narratives, examines public opinion, and clarifies why a two‑state outcome remains a focus of international diplomacy despite significant obstacles.</w:t>
      </w:r>
      <w:r/>
    </w:p>
    <w:p>
      <w:pPr>
        <w:pStyle w:val="ListNumber"/>
        <w:spacing w:line="240" w:lineRule="auto"/>
        <w:ind w:left="720"/>
      </w:pPr>
      <w:r/>
      <w:hyperlink r:id="rId13">
        <w:r>
          <w:rPr>
            <w:color w:val="0000EE"/>
            <w:u w:val="single"/>
          </w:rPr>
          <w:t>https://commonslibrary.parliament.uk/research-briefings/cbp-9515/</w:t>
        </w:r>
      </w:hyperlink>
      <w:r>
        <w:t xml:space="preserve"> - The House of Commons Library briefing on non‑binary gender recognition explains the current UK legal framework, noting that the Gender Recognition Act 2004 only recognises male and female sexes and does not provide legal recognition for non‑binary identities. It outlines protections under the Equality Act 2010, recent case law on gender reassignment protections, hate crime aggravators, and the Government’s position on reform. The paper summarises inquiries, consultation responses and outstanding policy questions, discussing practical consequences for public services and calls for research. It serves as an impartial resource for MPs, practitioners and the public on the complexities of legal recognition.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lifeandstyle/2025/aug/17/dining-across-the-divide-michael-sophia" TargetMode="External"/><Relationship Id="rId10" Type="http://schemas.openxmlformats.org/officeDocument/2006/relationships/hyperlink" Target="https://www.riding.house/menus/" TargetMode="External"/><Relationship Id="rId11" Type="http://schemas.openxmlformats.org/officeDocument/2006/relationships/hyperlink" Target="https://migrationobservatory.ox.ac.uk/resources/briefings/the-labour-market-effects-of-immigration/" TargetMode="External"/><Relationship Id="rId12" Type="http://schemas.openxmlformats.org/officeDocument/2006/relationships/hyperlink" Target="https://theconversation.com/explainer-what-is-the-two-state-solution-to-the-israeli-palestinian-conflict-221872/" TargetMode="External"/><Relationship Id="rId13" Type="http://schemas.openxmlformats.org/officeDocument/2006/relationships/hyperlink" Target="https://commonslibrary.parliament.uk/research-briefings/cbp-9515/" TargetMode="External"/><Relationship Id="rId14" Type="http://schemas.openxmlformats.org/officeDocument/2006/relationships/hyperlink" Target="https://en.wikipedia.org/wiki/We_Didn%27t_Start_the_Fir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