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Post-pandemic innovations accelerate towards a resilient, inclusive economic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evolving landscape of economic and social development continues to draw significant attention, particularly as new frameworks for growth emerge in the post-pandemic world. Recent discussions highlight how strategic collaborations and innovations across various sectors are shaping a more resilient and inclusive economic future.</w:t>
      </w:r>
      <w:r/>
    </w:p>
    <w:p>
      <w:r/>
      <w:r>
        <w:t>Central to these developments is the concept of open science, which is increasingly recognised as a powerful catalyst for economic expansion. By providing unrestricted access to scientific knowledge, open science fosters innovation and cross-industry collaboration, contributing to substantial economic gains. Historical projects like the Human Genome Project exemplify how open scientific endeavors can yield significant benefits, not only driving prosperity but also building public trust through transparency. However, experts stress that to fully harness this potential, dedicated policy reforms are necessary to support open science as a cornerstone of sustainable development.</w:t>
      </w:r>
      <w:r/>
    </w:p>
    <w:p>
      <w:r/>
      <w:r>
        <w:t>Education stands out as another critical pillar underpinning social and economic progress. Research consistently demonstrates that prioritising education yields improvements in health, income, and cognitive skills—elements essential for breaking cycles of poverty and preparing individuals for meaningful employment. The emphasis lies on fostering abstract thinking and risk assessment abilities, which are crucial in today’s rapidly changing world. Effective transformation of education systems requires close collaboration among policymakers, educators, and researchers to address future challenges and advance equity.</w:t>
      </w:r>
      <w:r/>
    </w:p>
    <w:p>
      <w:r/>
      <w:r>
        <w:t>Meanwhile, small and medium-sized enterprises (SMEs) have emerged as vital players in economic recovery, thanks largely to their swift adoption of digital technologies. The pandemic accelerated this digital transformation, enabling SMEs to enhance cash flow and reduce transaction costs through digital payments. Nonetheless, digital inclusion remains uneven, with cybersecurity posing a notable risk. Partnerships focused on boosting digital capabilities and resilience are pivotal, helping SMEs navigate these challenges and contribute robustly to economic revival.</w:t>
      </w:r>
      <w:r/>
    </w:p>
    <w:p>
      <w:r/>
      <w:r>
        <w:t>In a regional context, the Gulf Cooperation Council (GCC) economies are witnessing a surge in infrastructure investments aimed at diversifying away from hydrocarbon dependence. This infrastructure boom spans transport, tourism, and social sectors, underpinned by increasing foreign direct investment and innovative public-private partnerships (PPPs). Regulatory reforms in countries like the UAE and Saudi Arabia aim to attract private sector participation, signalling an optimistic outlook for sustained infrastructure development in the region.</w:t>
      </w:r>
      <w:r/>
    </w:p>
    <w:p>
      <w:r/>
      <w:r>
        <w:t>Urban environments in Europe also illustrate how digital technology and collaborative partnerships between governments and industries play a crucial role in responding to the evolving needs of city dwellers. The European Union’s substantial recovery package underscores the importance of such cooperation in enhancing urban resilience and quality of life post-pandemic. Through these partnerships, cities are better positioned to tackle social and economic disruptions, setting a blueprint for future urban development strategies.</w:t>
      </w:r>
      <w:r/>
    </w:p>
    <w:p>
      <w:r/>
      <w:r>
        <w:t>Beyond these economic and social frameworks, cultural evolution is also gaining momentum, with cities like Singapore exemplifying the dynamic interplay between heritage and contemporary innovation. The local arts scene, invigorated by creative adaptations during the COVID-19 pandemic, demonstrates how cultural sectors contribute to both community identity and economic vitality. Artistic hubs and immersive public experiences underscore the evolving nature of urban culture, which in turn supports broader growth and social cohesion.</w:t>
      </w:r>
      <w:r/>
    </w:p>
    <w:p>
      <w:r/>
      <w:r>
        <w:t>Together, these interconnected developments across science, education, digital transformation, infrastructure, urban policy, and culture reveal a multifaceted approach to fostering resilient, inclusive, and forward-looking economies. The challenges posed by recent global disruptions are being met with innovative solutions and collaborations that promise to shape a more equitable and prosperous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mgFBVV95cUxOQTlQVGpKMnhqZTFMMTRzQjV4SlNrT2RjOHJzN0pGYmNYQ1VyYWNSZ3d5bFoyZmF0TFRCaGJ0VnhtU1ZwdDJNUGNfR29qY3hudXNaNnZOaUg3bnljRWlvTkV6cjBmQW5TYkZ0SUVSY0RKSE1fbEJzLUdBWm9ZQnliNzFZdy1tVEEwLWRlOFd6RVZ5Z3dwdWh6QW1B?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https://www.ft.com/partnercontent/frontiers/open-science-a-new-paradigm-for-economic-growth.html</w:t>
        </w:r>
      </w:hyperlink>
      <w:r>
        <w:t xml:space="preserve"> - This article discusses the concept of open science as a catalyst for economic growth. It highlights how unrestricted access to scientific knowledge can drive innovation and prosperity. The piece references historical examples, such as the Human Genome Project, to illustrate the potential economic benefits of open science. It also addresses the importance of transparent and open science in building public trust and fostering collaboration across industries. The article concludes by emphasising the need for policy changes to promote open science and its role in achieving sustainable economic development.</w:t>
      </w:r>
      <w:r/>
    </w:p>
    <w:p>
      <w:pPr>
        <w:pStyle w:val="ListNumber"/>
        <w:spacing w:line="240" w:lineRule="auto"/>
        <w:ind w:left="720"/>
      </w:pPr>
      <w:r/>
      <w:hyperlink r:id="rId12">
        <w:r>
          <w:rPr>
            <w:color w:val="0000EE"/>
            <w:u w:val="single"/>
          </w:rPr>
          <w:t>https://www.ft.com/partnercontent/yidan-prize-foundation/how-education-spurs-social-growth-and-equity.html</w:t>
        </w:r>
      </w:hyperlink>
      <w:r>
        <w:t xml:space="preserve"> - This article explores the pivotal role of education in driving social and economic progress. It discusses how prioritising education can break the cycle of poverty, improve health outcomes, and prepare individuals for decent employment. The piece highlights research demonstrating the links between education, income, and cognitive abilities, emphasising that education enhances abstract thinking and risk assessment skills. It also underscores the importance of collaboration among policymakers, educators, and researchers to transform education systems and meet future challenges, aiming to create a better world through education.</w:t>
      </w:r>
      <w:r/>
    </w:p>
    <w:p>
      <w:pPr>
        <w:pStyle w:val="ListNumber"/>
        <w:spacing w:line="240" w:lineRule="auto"/>
        <w:ind w:left="720"/>
      </w:pPr>
      <w:r/>
      <w:hyperlink r:id="rId10">
        <w:r>
          <w:rPr>
            <w:color w:val="0000EE"/>
            <w:u w:val="single"/>
          </w:rPr>
          <w:t>https://www.ft.com/partnercontent/singapore-tourism-board/home-is-where-the-art-is.html</w:t>
        </w:r>
      </w:hyperlink>
      <w:r>
        <w:t xml:space="preserve"> - This article profiles artist Chloë Manasseh and her experiences within Singapore's evolving art scene. It highlights how her familial roots in Singapore have influenced her artistic journey and her discovery of a dynamic and innovative arts community. The piece discusses various art hubs in Singapore, such as Gillman Barracks and Cuturi Gallery, and how they support local artists. It also touches upon the impact of the COVID-19 pandemic on the arts, leading to creative adaptations like immersive experiences in public spaces. The article reflects on the city's constantly changing and evolving art landscape.</w:t>
      </w:r>
      <w:r/>
    </w:p>
    <w:p>
      <w:pPr>
        <w:pStyle w:val="ListNumber"/>
        <w:spacing w:line="240" w:lineRule="auto"/>
        <w:ind w:left="720"/>
      </w:pPr>
      <w:r/>
      <w:hyperlink r:id="rId13">
        <w:r>
          <w:rPr>
            <w:color w:val="0000EE"/>
            <w:u w:val="single"/>
          </w:rPr>
          <w:t>https://www.ft.com/partnercontent/mastercard/digital-lifelines-helping-smes-drive-economic-recovery.html</w:t>
        </w:r>
      </w:hyperlink>
      <w:r>
        <w:t xml:space="preserve"> - This article examines how digital transformation has become a lifeline for small and medium-sized enterprises (SMEs) during economic challenges. It discusses the rapid adoption of digital technologies by SMEs, accelerated by the COVID-19 pandemic, and the benefits of digital payments in improving cash flow and reducing transaction costs. The piece also addresses the challenges SMEs face in digital inclusion, particularly concerning cybersecurity risks. It highlights partnerships aimed at enhancing digital capabilities and resilience among SMEs, emphasising the importance of collaboration to support their recovery and growth.</w:t>
      </w:r>
      <w:r/>
    </w:p>
    <w:p>
      <w:pPr>
        <w:pStyle w:val="ListNumber"/>
        <w:spacing w:line="240" w:lineRule="auto"/>
        <w:ind w:left="720"/>
      </w:pPr>
      <w:r/>
      <w:hyperlink r:id="rId14">
        <w:r>
          <w:rPr>
            <w:color w:val="0000EE"/>
            <w:u w:val="single"/>
          </w:rPr>
          <w:t>https://www.ft.com/partnercontent/hsbc/financing-the-gulf-infrastructure-boom.html</w:t>
        </w:r>
      </w:hyperlink>
      <w:r>
        <w:t xml:space="preserve"> - This article explores the significant investments in infrastructure within Gulf Cooperation Council (GCC) economies, focusing on transport, tourism, and social infrastructure. It highlights the surge in foreign direct investment (FDI) and the shift away from hydrocarbon dependence as key drivers of this boom. The piece discusses the role of public-private partnerships (PPPs) in financing major projects and the regulatory reforms in countries like the UAE and Saudi Arabia to attract private sector involvement. It also notes the substantial planned PPP projects in the region, indicating a robust pipeline of infrastructure development.</w:t>
      </w:r>
      <w:r/>
    </w:p>
    <w:p>
      <w:pPr>
        <w:pStyle w:val="ListNumber"/>
        <w:spacing w:line="240" w:lineRule="auto"/>
        <w:ind w:left="720"/>
      </w:pPr>
      <w:r/>
      <w:hyperlink r:id="rId15">
        <w:r>
          <w:rPr>
            <w:color w:val="0000EE"/>
            <w:u w:val="single"/>
          </w:rPr>
          <w:t>https://www.ft.com/partnercontent/mastercard/city-centred-how-urban-living-is-improved-by-partnerships.html</w:t>
        </w:r>
      </w:hyperlink>
      <w:r>
        <w:t xml:space="preserve"> - This article discusses how digital technology and partnerships with industry experts can help governments respond rapidly to the changing needs of Europe’s urban populations. It highlights the European Union's €2.36 trillion recovery package and the €672.5 billion support to member states to address the economic and social impact of COVID-19. The piece underscores the importance of collaboration between governments, businesses, and communities to enhance urban living and resilience, particularly in the aftermath of national emergencies like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mgFBVV95cUxOQTlQVGpKMnhqZTFMMTRzQjV4SlNrT2RjOHJzN0pGYmNYQ1VyYWNSZ3d5bFoyZmF0TFRCaGJ0VnhtU1ZwdDJNUGNfR29qY3hudXNaNnZOaUg3bnljRWlvTkV6cjBmQW5TYkZ0SUVSY0RKSE1fbEJzLUdBWm9ZQnliNzFZdy1tVEEwLWRlOFd6RVZ5Z3dwdWh6QW1B?oc=5&amp;hl=en-US&amp;gl=US&amp;ceid=US:en" TargetMode="External"/><Relationship Id="rId10" Type="http://schemas.openxmlformats.org/officeDocument/2006/relationships/hyperlink" Target="https://www.ft.com/partnercontent/singapore-tourism-board/home-is-where-the-art-is.html" TargetMode="External"/><Relationship Id="rId11" Type="http://schemas.openxmlformats.org/officeDocument/2006/relationships/hyperlink" Target="https://www.ft.com/partnercontent/frontiers/open-science-a-new-paradigm-for-economic-growth.html" TargetMode="External"/><Relationship Id="rId12" Type="http://schemas.openxmlformats.org/officeDocument/2006/relationships/hyperlink" Target="https://www.ft.com/partnercontent/yidan-prize-foundation/how-education-spurs-social-growth-and-equity.html" TargetMode="External"/><Relationship Id="rId13" Type="http://schemas.openxmlformats.org/officeDocument/2006/relationships/hyperlink" Target="https://www.ft.com/partnercontent/mastercard/digital-lifelines-helping-smes-drive-economic-recovery.html" TargetMode="External"/><Relationship Id="rId14" Type="http://schemas.openxmlformats.org/officeDocument/2006/relationships/hyperlink" Target="https://www.ft.com/partnercontent/hsbc/financing-the-gulf-infrastructure-boom.html" TargetMode="External"/><Relationship Id="rId15" Type="http://schemas.openxmlformats.org/officeDocument/2006/relationships/hyperlink" Target="https://www.ft.com/partnercontent/mastercard/city-centred-how-urban-living-is-improved-by-partnership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