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Vietnam advances towards secondary emerging market status with key reforms and FTSE Russell recognition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Vietnam has taken significant steps toward upgrading its stock market status from "frontier" to "secondary emerging" as classified by FTSE Russell, driven by comprehensive reforms aimed at encouraging foreign investment inflows. According to Finance Minister Nguyen Van Thang, the country has fulfilled the necessary criteria through decisive government policies and regulatory changes. At a recent meeting with representatives from the London Stock Exchange (LSE) in London, the minister underscored the government's ongoing commitment to enhancing market openness and transparency as part of this strategic goal.</w:t>
      </w:r>
      <w:r/>
    </w:p>
    <w:p>
      <w:r/>
      <w:r>
        <w:t>Vietnam’s government recently approved a plan targeting the stock market upgrade by 2025. This plan aims to meet all requirements set by FTSE Russell, including nine mandatory core criteria and two non-mandatory reference criteria. These criteria will be assessed based on actual market experience and feedback from foreign investors, highlighting the practical improvements Vietnam has implemented. Key among the reforms is the removal of pre-funding requirements for foreign investors, which historically posed a barrier to investment. Alongside this, the country has enhanced transparency on foreign ownership limits and strengthened its legal and regulatory framework to align with international standards.</w:t>
      </w:r>
      <w:r/>
    </w:p>
    <w:p>
      <w:r/>
      <w:r>
        <w:t>The Ministry of Finance’s efforts have garnered positive recognition from global index providers such as FTSE Russell, which monitor market classifications closely. The next review by FTSE Russell is scheduled for October 7, 2025. Vietnam's stock market currently has a market capitalisation approaching $352 billion, equivalent to about 79.5% of the nation’s GDP, with liquidity steadily improving. Some trading sessions have recorded between $3 billion in transaction value, and the average daily trading volume has reached $1.1 billion this year, making Vietnam one of the most active equity markets in the ASEAN region.</w:t>
      </w:r>
      <w:r/>
    </w:p>
    <w:p>
      <w:r/>
      <w:r>
        <w:t>Minister Thang also highlighted Vietnam's intention to expand cooperation with the London Stock Exchange in several critical areas. These include enhancing legal frameworks, adopting international standards of corporate governance, improving market supervision mechanisms, and promoting Environmental, Social, and Governance (ESG) principles to foster greater transparency and sustainability. Furthermore, Vietnam is keen to develop new financial instruments such as green bonds, sustainable bonds, and derivatives, reflecting a growing awareness of sustainable finance as integral to market development.</w:t>
      </w:r>
      <w:r/>
    </w:p>
    <w:p>
      <w:r/>
      <w:r>
        <w:t>The minister proposed collaborative efforts to connect Vietnamese companies with international investors, particularly those in the UK and Europe, through joint investment promotion activities. Vietnam also seeks advice on market education, capacity building for financial professionals, and the integration of advanced financial technologies like Fintech, artificial intelligence, and blockchain to boost market efficiency and investor protection.</w:t>
      </w:r>
      <w:r/>
    </w:p>
    <w:p>
      <w:r/>
      <w:r>
        <w:t>In response, Julia Hoggett, CEO of the LSE, expressed confidence in Vietnam’s evolving capital market and reiterated the exchange’s commitment to supporting Vietnam’s upgrade aspirations. She viewed the LSE as a strategic gateway facilitating global connectivity for Vietnam’s financial market. This partnership was formalised through a memorandum of understanding signed between the Vietnam Stock Exchange (VNX) and FTSE International Limited, aiming to strengthen Vietnam’s capital market infrastructure and enhance its international integration.</w:t>
      </w:r>
      <w:r/>
    </w:p>
    <w:p>
      <w:r/>
      <w:r>
        <w:t xml:space="preserve">The upgrade to secondary emerging market status is anticipated to significantly increase foreign capital inflows, reinforcing Vietnam’s position in the global financial landscape. Market analysts highlight that such upgrades typically attract long-term foreign institutional investments, providing the momentum for deeper market development and improved investor confidence. </w:t>
      </w:r>
      <w:r/>
    </w:p>
    <w:p>
      <w:r/>
      <w:r>
        <w:t>Vietnam's strategy reflects broader ambitions to position its stock market as a key conduit for medium- and long-term capital mobilisation and as an engine of international economic integration. This aligns with the government’s vision of transforming the domestic financial market, not only to meet technical benchmark requirements but to sustain growth and integration in an increasingly interconnected global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12">
        <w:r>
          <w:rPr>
            <w:color w:val="0000EE"/>
            <w:u w:val="single"/>
          </w:rPr>
          <w:t>[3]</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https://theinvestor.vn/vietnam-already-meets-ftses-criteria-for-stock-market-status-upgrade-finance-minister-d17032.html</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https://www.reuters.com/sustainability/boards-policy-regulation/vietnam-says-minister-met-lse-ftse-russell-officials-market-upgrade-2025-09-16/</w:t>
        </w:r>
      </w:hyperlink>
      <w:r>
        <w:t xml:space="preserve"> - Vietnam's Finance Minister Nguyen Van Thang met with officials from the London Stock Exchange (LSE) and FTSE Russell to discuss upgrading the country's stock market status from frontier to emerging market. Thang highlighted the government's reforms aimed at facilitating foreign investment, noting that the market's capitalisation was around $352 billion at the end of 2024, equivalent to 79.5% of GDP. The upgrade is expected to attract more foreign capital inflows into Vietnam's stock market. (</w:t>
      </w:r>
      <w:hyperlink r:id="rId16">
        <w:r>
          <w:rPr>
            <w:color w:val="0000EE"/>
            <w:u w:val="single"/>
          </w:rPr>
          <w:t>reuters.com</w:t>
        </w:r>
      </w:hyperlink>
      <w:r>
        <w:t>)</w:t>
      </w:r>
      <w:r/>
    </w:p>
    <w:p>
      <w:pPr>
        <w:pStyle w:val="ListNumber"/>
        <w:spacing w:line="240" w:lineRule="auto"/>
        <w:ind w:left="720"/>
      </w:pPr>
      <w:r/>
      <w:hyperlink r:id="rId12">
        <w:r>
          <w:rPr>
            <w:color w:val="0000EE"/>
            <w:u w:val="single"/>
          </w:rPr>
          <w:t>https://english.vov.vn/en/economy/vietnam-approves-plan-to-upgrade-stock-market-status-post1230142.vov</w:t>
        </w:r>
      </w:hyperlink>
      <w:r>
        <w:t xml:space="preserve"> - Vietnam's Prime Minister Pham Minh Chinh approved a plan to upgrade the stock market, aiming to transform it into a significant channel for medium- and long-term capital mobilisation and deeper international integration. The plan targets meeting all criteria required for elevation from frontier to secondary emerging market status under FTSE Russell in 2025. Key measures include removing barriers such as pre-funding requirements for foreign investors and enhancing transparency on foreign ownership limits. (</w:t>
      </w:r>
      <w:hyperlink r:id="rId17">
        <w:r>
          <w:rPr>
            <w:color w:val="0000EE"/>
            <w:u w:val="single"/>
          </w:rPr>
          <w:t>english.vov.vn</w:t>
        </w:r>
      </w:hyperlink>
      <w:r>
        <w:t>)</w:t>
      </w:r>
      <w:r/>
    </w:p>
    <w:p>
      <w:pPr>
        <w:pStyle w:val="ListNumber"/>
        <w:spacing w:line="240" w:lineRule="auto"/>
        <w:ind w:left="720"/>
      </w:pPr>
      <w:r/>
      <w:hyperlink r:id="rId11">
        <w:r>
          <w:rPr>
            <w:color w:val="0000EE"/>
            <w:u w:val="single"/>
          </w:rPr>
          <w:t>https://vietnamnews.vn/economy/1724706/viet-nam-s-stock-market-moves-closer-to-global-upgrade-mof.html</w:t>
        </w:r>
      </w:hyperlink>
      <w:r>
        <w:t xml:space="preserve"> - Vietnam's efforts to upgrade its stock market have received positive recognition from global index provider FTSE Russell. Recent reforms, including the removal of the pre-funding requirement for foreign institutional investors, align Vietnam's market with global practices. The next FTSE Russell market classification is scheduled for October 7, 2025. The Ministry of Finance is also improving the legal framework in line with international standards to attract more foreign investment. (</w:t>
      </w:r>
      <w:hyperlink r:id="rId18">
        <w:r>
          <w:rPr>
            <w:color w:val="0000EE"/>
            <w:u w:val="single"/>
          </w:rPr>
          <w:t>vietnamnews.vn</w:t>
        </w:r>
      </w:hyperlink>
      <w:r>
        <w:t>)</w:t>
      </w:r>
      <w:r/>
    </w:p>
    <w:p>
      <w:pPr>
        <w:pStyle w:val="ListNumber"/>
        <w:spacing w:line="240" w:lineRule="auto"/>
        <w:ind w:left="720"/>
      </w:pPr>
      <w:r/>
      <w:hyperlink r:id="rId19">
        <w:r>
          <w:rPr>
            <w:color w:val="0000EE"/>
            <w:u w:val="single"/>
          </w:rPr>
          <w:t>https://bizhub.vietnamnews.vn/stock-market-upgrade-expected-by-september-post374248.html</w:t>
        </w:r>
      </w:hyperlink>
      <w:r>
        <w:t xml:space="preserve"> - Vietnam's stock market is on the brink of a significant transformation, with expectations mounting for an upgrade to emerging market status by September. The Ministry of Finance is actively implementing a comprehensive plan to enhance market capabilities and meet the stringent criteria set by international rating agencies such as FTSE Russell and MSCI. This upgrade is seen as a major catalyst for Vietnam’s capital market, enhancing its appeal to and access by global investors. (</w:t>
      </w:r>
      <w:hyperlink r:id="rId20">
        <w:r>
          <w:rPr>
            <w:color w:val="0000EE"/>
            <w:u w:val="single"/>
          </w:rPr>
          <w:t>bizhub.vietnamnews.vn</w:t>
        </w:r>
      </w:hyperlink>
      <w:r>
        <w:t>)</w:t>
      </w:r>
      <w:r/>
    </w:p>
    <w:p>
      <w:pPr>
        <w:pStyle w:val="ListNumber"/>
        <w:spacing w:line="240" w:lineRule="auto"/>
        <w:ind w:left="720"/>
      </w:pPr>
      <w:r/>
      <w:hyperlink r:id="rId14">
        <w:r>
          <w:rPr>
            <w:color w:val="0000EE"/>
            <w:u w:val="single"/>
          </w:rPr>
          <w:t>https://www.cnbc.com/2024/10/28/vietnam-waits-for-major-upgrade-to-its-200-billion-stock-market.html</w:t>
        </w:r>
      </w:hyperlink>
      <w:r>
        <w:t xml:space="preserve"> - An upgrade to emerging market status could see global funds pouring billions into Vietnam's financial market, which currently has a market value just north of $200 billion. The Vietnamese government is focusing on reforms to meet the criteria set by FTSE Russell, with expectations for the upgrade to be confirmed in September 2025. This move is part of Vietnam's broader economic goals to increase transparency and attract foreign investors. (</w:t>
      </w:r>
      <w:hyperlink r:id="rId21">
        <w:r>
          <w:rPr>
            <w:color w:val="0000EE"/>
            <w:u w:val="single"/>
          </w:rPr>
          <w:t>cnbc.com</w:t>
        </w:r>
      </w:hyperlink>
      <w:r>
        <w:t>)</w:t>
      </w:r>
      <w:r/>
    </w:p>
    <w:p>
      <w:pPr>
        <w:pStyle w:val="ListNumber"/>
        <w:spacing w:line="240" w:lineRule="auto"/>
        <w:ind w:left="720"/>
      </w:pPr>
      <w:r/>
      <w:hyperlink r:id="rId13">
        <w:r>
          <w:rPr>
            <w:color w:val="0000EE"/>
            <w:u w:val="single"/>
          </w:rPr>
          <w:t>https://vietnamlawmagazine.vn/vietnam-approves-plan-to-upgrade-stock-market-status-75221.html</w:t>
        </w:r>
      </w:hyperlink>
      <w:r>
        <w:t xml:space="preserve"> - Vietnam's Prime Minister Pham Minh Chinh issued Decision 2014/QD-TTg, approving a project to upgrade the stock market. The plan aims to transform the market into an important channel for medium- and long-term capital mobilisation and deeper international integration. In the short term, the plan targets meeting all criteria required for elevation from frontier to secondary emerging market status under FTSE Russell in 2025. Key measures include removing barriers such as pre-funding requirements for foreign investors and enhancing transparency on foreign ownership limits. (</w:t>
      </w:r>
      <w:hyperlink r:id="rId22">
        <w:r>
          <w:rPr>
            <w:color w:val="0000EE"/>
            <w:u w:val="single"/>
          </w:rPr>
          <w:t>vietnamlawmagazine.vn</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investor.vn/vietnam-already-meets-ftses-criteria-for-stock-market-status-upgrade-finance-minister-d17032.html" TargetMode="External"/><Relationship Id="rId10" Type="http://schemas.openxmlformats.org/officeDocument/2006/relationships/hyperlink" Target="https://www.reuters.com/sustainability/boards-policy-regulation/vietnam-says-minister-met-lse-ftse-russell-officials-market-upgrade-2025-09-16/" TargetMode="External"/><Relationship Id="rId11" Type="http://schemas.openxmlformats.org/officeDocument/2006/relationships/hyperlink" Target="https://vietnamnews.vn/economy/1724706/viet-nam-s-stock-market-moves-closer-to-global-upgrade-mof.html" TargetMode="External"/><Relationship Id="rId12" Type="http://schemas.openxmlformats.org/officeDocument/2006/relationships/hyperlink" Target="https://english.vov.vn/en/economy/vietnam-approves-plan-to-upgrade-stock-market-status-post1230142.vov" TargetMode="External"/><Relationship Id="rId13" Type="http://schemas.openxmlformats.org/officeDocument/2006/relationships/hyperlink" Target="https://vietnamlawmagazine.vn/vietnam-approves-plan-to-upgrade-stock-market-status-75221.html" TargetMode="External"/><Relationship Id="rId14" Type="http://schemas.openxmlformats.org/officeDocument/2006/relationships/hyperlink" Target="https://www.cnbc.com/2024/10/28/vietnam-waits-for-major-upgrade-to-its-200-billion-stock-market.html" TargetMode="External"/><Relationship Id="rId15" Type="http://schemas.openxmlformats.org/officeDocument/2006/relationships/hyperlink" Target="https://www.noahwire.com" TargetMode="External"/><Relationship Id="rId16" Type="http://schemas.openxmlformats.org/officeDocument/2006/relationships/hyperlink" Target="https://www.reuters.com/sustainability/boards-policy-regulation/vietnam-says-minister-met-lse-ftse-russell-officials-market-upgrade-2025-09-16/?utm_source=openai" TargetMode="External"/><Relationship Id="rId17" Type="http://schemas.openxmlformats.org/officeDocument/2006/relationships/hyperlink" Target="https://english.vov.vn/en/economy/vietnam-approves-plan-to-upgrade-stock-market-status-post1230142.vov?utm_source=openai" TargetMode="External"/><Relationship Id="rId18" Type="http://schemas.openxmlformats.org/officeDocument/2006/relationships/hyperlink" Target="https://vietnamnews.vn/economy/1724706/viet-nam-s-stock-market-moves-closer-to-global-upgrade-mof.html?utm_source=openai" TargetMode="External"/><Relationship Id="rId19" Type="http://schemas.openxmlformats.org/officeDocument/2006/relationships/hyperlink" Target="https://bizhub.vietnamnews.vn/stock-market-upgrade-expected-by-september-post374248.html" TargetMode="External"/><Relationship Id="rId20" Type="http://schemas.openxmlformats.org/officeDocument/2006/relationships/hyperlink" Target="https://bizhub.vietnamnews.vn/stock-market-upgrade-expected-by-september-post374248.html?utm_source=openai" TargetMode="External"/><Relationship Id="rId21" Type="http://schemas.openxmlformats.org/officeDocument/2006/relationships/hyperlink" Target="https://www.cnbc.com/2024/10/28/vietnam-waits-for-major-upgrade-to-its-200-billion-stock-market.html?utm_source=openai" TargetMode="External"/><Relationship Id="rId22" Type="http://schemas.openxmlformats.org/officeDocument/2006/relationships/hyperlink" Target="https://vietnamlawmagazine.vn/vietnam-approves-plan-to-upgrade-stock-market-status-75221.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