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CMBS market rebounds with record issuance and sector diversification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European commercial mortgage-backed securitisation (CMBS) market has experienced a remarkable resurgence in 2025, marking its strongest start in decades and revitalising a critical avenue for real estate financing. After years of subdued activity, the market witnessed €3.3 billion (£2.9 billion) issued and securitised in the first quarter across six transactions, representing the highest quarterly figure since the global financial crisis. This momentum carried forward into mid-year, with issuance reaching €4.7 billion from ten deals—already surpassing the totals for both 2022 and 2023 combined. The revival underscores growing investor confidence and highlights a significant shift towards debt-financed real estate investments in Europe, mirroring the vigorous recovery seen in the U.S. CMBS market.</w:t>
      </w:r>
      <w:r/>
    </w:p>
    <w:p>
      <w:r/>
      <w:r>
        <w:t>Historically volatile in Europe, the CMBS sector had been cautious, often retreating amid market instability, but 2025 is proving different. Mirco Iacobucci, Head of European CMBS at Morningstar DBRS, noted that recent conditions suggest a more robust and functional market, supported by attractive pricing. AAA-rated CMBS tranches have been offered at spreads around 25 basis points lower than earlier in the year, making them more competitive than traditional bilateral loans despite the structural complexity and associated fees. This has particularly benefited large transactions, although there is potential for smaller loan securitisations to enter the market, following patterns established in the U.S. where CMBS are more prevalent across a broader loan spectrum.</w:t>
      </w:r>
      <w:r/>
    </w:p>
    <w:p>
      <w:r/>
      <w:r>
        <w:t>Industrial and logistics properties continue to dominate the portfolio of CMBS transactions, with major private equity firms playing a leading role. Blackstone, in particular, has been central to many landmark deals, including the UK’s largest CMBS sale since the global financial crisis—a £1.5 billion transaction secured on a portfolio of 39 holiday parks under its Haven platform. This deal exemplifies how CMBS structures are expanding into niche sectors such as holiday parks and data centres, which are generating substantial, stable cash flows attractive to bond investors. Blackstone’s head of Real Estate Europe Capital Markets, Gadi Jay, highlighted that CMBS’s ability to create multiple tranches catering to different risk appetites enhances liquidity and financing flexibility, differentiating it from traditional loan arrangements.</w:t>
      </w:r>
      <w:r/>
    </w:p>
    <w:p>
      <w:r/>
      <w:r>
        <w:t>Other notable recent issuances include Blackstone's €525 million Sequoia Logistics 2025-1 DAC, the largest euro-denominated CMBS since 2021, backed by urban logistics assets across prime last-mile locations in Europe. Additionally, Bank of America launched its third European CMBS in 2025, a €260 million Taurus 2025-1 EU DAC secured by 37 logistics properties owned by Carlyle Group, featuring near-full occupancy and tenant stability. These transactions illustrate the continuing investor appetite for logistics real estate, a sector that underpins much of the CMBS market’s revival, alongside growing interest in other asset classes.</w:t>
      </w:r>
      <w:r/>
    </w:p>
    <w:p>
      <w:r/>
      <w:r>
        <w:t>Despite the positive trends, refinancing risks remain a pertinent challenge within European CMBS structures. Scope Ratings recently highlighted that about one-third of loans maturing in 2023 and 2024 face high or very high refinance risk, driven by the tightening credit environment and rising debt costs. This includes a significant portion exposed to increasing interest rates, which may impact borrower capacity to meet debt service requirements. It reflects broader pressures in the commercial real estate finance market, reinforcing the need for prudent underwriting and risk mitigation within securitised deals.</w:t>
      </w:r>
      <w:r/>
    </w:p>
    <w:p>
      <w:r/>
      <w:r>
        <w:t>On a regulatory level, the European Commission is actively seeking to ease securitisation rules to encourage further growth in this market. By simplifying due diligence, streamlining reporting requirements, and reducing redundant investor checks—particularly for private deals—the reforms aim to boost bank lending while maintaining financial stability. Maria Albuquerque, EU Financial Services Commissioner, emphasised that the intention is to restore balanced risk-taking that can invigorate economic activity while preserving investor protection. Such regulatory adjustments are expected to facilitate greater capital market integration and expand financing options for European real estate borrowers.</w:t>
      </w:r>
      <w:r/>
    </w:p>
    <w:p>
      <w:r/>
      <w:r>
        <w:t>The expanding CMBS market in Europe is also marked by increasing diversity in sponsors and asset classes, as highlighted by industry observers. Brookland’s founder Nassar Hussain described the Haven holiday park deal as a potential catalyst for attracting new issuers and broader asset types to securitisation, thereby increasing market depth and liquidity. This trend coincides with private equity’s predominant role in driving large portfolio securitisations, although the market's maturation and structural innovations promise to attract new investor segments, including U.S. capital seeking value in Europe.</w:t>
      </w:r>
      <w:r/>
    </w:p>
    <w:p>
      <w:r/>
      <w:r>
        <w:t>Overall, the revived European CMBS market presents an important alternative source of real estate financing, potentially alleviating some pressure arising from banks’ retrenching exposure to commercial real estate. While traditional bank lending remains robust, shifting lending patterns and competitive pricing suggest CMBS could become a more prominent cornerstone of Europe’s real estate debt ecosystem, supporting growth across various property sectors and transaction sizes.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https://www.bisnow.com/london/news/capital-markets/more-sponsors-more-asset-diversity-european-cmbs-is-back-131036</w:t>
        </w:r>
      </w:hyperlink>
      <w:r>
        <w:t xml:space="preserve"> - Please view link - unable to able to access data</w:t>
      </w:r>
      <w:r/>
    </w:p>
    <w:p>
      <w:pPr>
        <w:pStyle w:val="ListNumber"/>
        <w:spacing w:line="240" w:lineRule="auto"/>
        <w:ind w:left="720"/>
      </w:pPr>
      <w:r/>
      <w:hyperlink r:id="rId9">
        <w:r>
          <w:rPr>
            <w:color w:val="0000EE"/>
            <w:u w:val="single"/>
          </w:rPr>
          <w:t>https://www.bisnow.com/london/news/capital-markets/more-sponsors-more-asset-diversity-european-cmbs-is-back-131036</w:t>
        </w:r>
      </w:hyperlink>
      <w:r>
        <w:t xml:space="preserve"> - The European commercial mortgage-backed securitisation (CMBS) market has experienced a significant resurgence in 2025, with a record start to the year facilitating substantial investments and refinancing opportunities. While industrial transactions remain dominant, there has been a notable increase in securitised loans within niche real estate sectors, such as data centres and holiday parks, indicating a growing investor appetite for diverse asset classes. This surge mirrors trends in the U.S. market, highlighting a global shift towards debt-based real estate investments. Additionally, the cost-effectiveness of securitised loans compared to traditional lending is expanding the CMBS market to include smaller borrowers. Despite historical volatility, the European CMBS sector has shown resilience, with the first quarter of 2025 witnessing €3.3 billion in loans issued and securitised across six transactions—the highest quarterly tally since the global financial crisis. These transactions encompassed various asset classes, including industrial, logistics, mixed-use, and residential properties. By mid-year, CMBS issuance had reached €4.7 billion across ten transactions, surpassing the total for 2024 and exceeding the combined totals of 2022 and 2023. This growth is attributed to more attractive pricing for CMBS deals compared to traditional bilateral loans, with AAA-rated CMBS offered at around 25 basis points lower than at the start of the year. The market's expansion is also evident in the involvement of major private equity firms, with Blackstone leading multiple transactions, including a £1.5 billion deal involving holiday park sites, marking the UK's largest CMBS sale since the global financial crisis. The increased liquidity and diversity in the CMBS market are expected to benefit various real estate sectors, encouraging higher issuance levels and providing more financing options for borrowers. The European market's maturation, coupled with evolving CMBS structures offering greater flexibility and creditor protection, is poised to support further growth and attract a broader range of investors.</w:t>
      </w:r>
      <w:r/>
    </w:p>
    <w:p>
      <w:pPr>
        <w:pStyle w:val="ListNumber"/>
        <w:spacing w:line="240" w:lineRule="auto"/>
        <w:ind w:left="720"/>
      </w:pPr>
      <w:r/>
      <w:hyperlink r:id="rId11">
        <w:r>
          <w:rPr>
            <w:color w:val="0000EE"/>
            <w:u w:val="single"/>
          </w:rPr>
          <w:t>https://www.costar.com/article/570915697/bank-of-america-launches-third-european-cmbs-of-2025-as-market-bursts-into-life</w:t>
        </w:r>
      </w:hyperlink>
      <w:r>
        <w:t xml:space="preserve"> - Bank of America has launched Taurus 2025-1 EU DAC, a €259.8 million European commercial mortgage-backed security (CMBS) backed by a portfolio of logistics properties owned by Carlyle Group. This marks the third European CMBS of 2025, indicating a significant resurgence in the market. The transaction brings the year's total CMBS issuance to over half of the previous year's volume, reflecting renewed investor demand and more competitive pricing. The CMBS is collateralised by a senior-term facility refinancing a portfolio of 37 logistics properties across Germany and France, primarily single-let medium-box logistics properties located in out-of-town sites within reasonable driving distance of French or German populations. The portfolio boasts near-100% occupancy, with Kuehne + Nagel occupying 25 of the 37 properties. The CMBS is rated by Fitch and Morningstar DBRS, highlighting the growing confidence in the European CMBS market. This development underscores the increasing appetite for logistics securitisation in Europe, suggesting a broader recovery and growth in the sector.</w:t>
      </w:r>
      <w:r/>
    </w:p>
    <w:p>
      <w:pPr>
        <w:pStyle w:val="ListNumber"/>
        <w:spacing w:line="240" w:lineRule="auto"/>
        <w:ind w:left="720"/>
      </w:pPr>
      <w:r/>
      <w:hyperlink r:id="rId12">
        <w:r>
          <w:rPr>
            <w:color w:val="0000EE"/>
            <w:u w:val="single"/>
          </w:rPr>
          <w:t>https://www.costar.com/article/736808354/blackstone-to-launch-largest-euro-denominated-cmbs-since-2021</w:t>
        </w:r>
      </w:hyperlink>
      <w:r>
        <w:t xml:space="preserve"> - Blackstone has returned to the European commercial mortgage-backed security (CMBS) market with the launch of Sequoia Logistics 2025-1 DAC, a €525 million CMBS backed by 53 urban logistics assets. This issuance is the largest euro-denominated CMBS since 2021, indicating a significant resurgence in the European CMBS market. The assets are predominantly located in prime last-mile logistics markets across France, Finland, the Netherlands, and Germany. The transaction has been arranged by Barclays as the sole arranger, with Deutsche Bank as book runner, and is expected to close in two to three weeks. This development highlights Blackstone's continued dominance in the European CMBS market and the growing investor appetite for logistics properties.</w:t>
      </w:r>
      <w:r/>
    </w:p>
    <w:p>
      <w:pPr>
        <w:pStyle w:val="ListNumber"/>
        <w:spacing w:line="240" w:lineRule="auto"/>
        <w:ind w:left="720"/>
      </w:pPr>
      <w:r/>
      <w:hyperlink r:id="rId13">
        <w:r>
          <w:rPr>
            <w:color w:val="0000EE"/>
            <w:u w:val="single"/>
          </w:rPr>
          <w:t>https://www.scoperatings.com/ratings-and-research/research/EN/173265</w:t>
        </w:r>
      </w:hyperlink>
      <w:r>
        <w:t xml:space="preserve"> - Scope Ratings has highlighted significant refinancing risks in European commercial real estate (CRE) loans within CMBS structures. Approximately 20% of loans maturing in 2023 and 2024 face very high refinancing risk due to expected cash flows being insufficient to meet higher anticipated requirements from lenders. An additional 14% face high risk if swap rates rise by another 100 basis points. The data indicates that 33% of all loans in CMBS maturing in 2023 and 2024 are exposed to high or very high refinancing risk, representing €500 million and £1.1 billion of senior real estate debt. This underscores the challenges borrowers face in the current market environment, characterized by tightening credit standards and rising debt costs.</w:t>
      </w:r>
      <w:r/>
    </w:p>
    <w:p>
      <w:pPr>
        <w:pStyle w:val="ListNumber"/>
        <w:spacing w:line="240" w:lineRule="auto"/>
        <w:ind w:left="720"/>
      </w:pPr>
      <w:r/>
      <w:hyperlink r:id="rId14">
        <w:r>
          <w:rPr>
            <w:color w:val="0000EE"/>
            <w:u w:val="single"/>
          </w:rPr>
          <w:t>https://www.reuters.com/sustainability/boards-policy-regulation/eu-wants-ease-securitisation-rules-boost-lending-economy-2025-06-17/</w:t>
        </w:r>
      </w:hyperlink>
      <w:r>
        <w:t xml:space="preserve"> - The European Commission has proposed easing stringent securitisation rules to stimulate bank lending and bolster the EU's underdeveloped securitisation market while maintaining financial stability. This initiative aims to better integrate the EU’s capital markets, providing more financing sources for companies to compete globally. The proposal seeks to roll back some post-2008 financial crisis regulations, aiming to balance risk mitigation with market activity. Proposed changes include reducing redundant investor checks, simplifying due diligence, and easing reporting and transparency requirements, especially for private deals. Financial Services Commissioner Maria Albuquerque emphasized that the reforms prioritize financial stability while creating room for manageable risk-taking to stimulate economic activity.</w:t>
      </w:r>
      <w:r/>
    </w:p>
    <w:p>
      <w:pPr>
        <w:pStyle w:val="ListNumber"/>
        <w:spacing w:line="240" w:lineRule="auto"/>
        <w:ind w:left="720"/>
      </w:pPr>
      <w:r/>
      <w:hyperlink r:id="rId10">
        <w:r>
          <w:rPr>
            <w:color w:val="0000EE"/>
            <w:u w:val="single"/>
          </w:rPr>
          <w:t>https://www.credaily.com/briefs/cmbs-issuance-hits-15-year-high-in-2025-with-35-growth/</w:t>
        </w:r>
      </w:hyperlink>
      <w:r>
        <w:t xml:space="preserve"> - Commercial mortgage-backed securities (CMBS) issuance has surged by 35% in the first half of 2025, reaching its highest level since 2007. This growth signals renewed investor demand and a recovery in the CMBS market. The surge is driven by increased issuance of single-asset, single-borrower (SASB) deals, with Blackstone-linked deals accounting for 19% of the total. Wells Fargo led all bookrunners and loan contributors, followed by Citi and Goldman Sachs. This resurgence reflects a broader recovery in the CMBS market, with increased investor confidence and appetite for real estate-backed securities.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capital-markets/more-sponsors-more-asset-diversity-european-cmbs-is-back-131036" TargetMode="External"/><Relationship Id="rId10" Type="http://schemas.openxmlformats.org/officeDocument/2006/relationships/hyperlink" Target="https://www.credaily.com/briefs/cmbs-issuance-hits-15-year-high-in-2025-with-35-growth/" TargetMode="External"/><Relationship Id="rId11" Type="http://schemas.openxmlformats.org/officeDocument/2006/relationships/hyperlink" Target="https://www.costar.com/article/570915697/bank-of-america-launches-third-european-cmbs-of-2025-as-market-bursts-into-life" TargetMode="External"/><Relationship Id="rId12" Type="http://schemas.openxmlformats.org/officeDocument/2006/relationships/hyperlink" Target="https://www.costar.com/article/736808354/blackstone-to-launch-largest-euro-denominated-cmbs-since-2021" TargetMode="External"/><Relationship Id="rId13" Type="http://schemas.openxmlformats.org/officeDocument/2006/relationships/hyperlink" Target="https://www.scoperatings.com/ratings-and-research/research/EN/173265" TargetMode="External"/><Relationship Id="rId14" Type="http://schemas.openxmlformats.org/officeDocument/2006/relationships/hyperlink" Target="https://www.reuters.com/sustainability/boards-policy-regulation/eu-wants-ease-securitisation-rules-boost-lending-economy-2025-06-17/"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