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economy faces turbulent waters as Labour's fiscal strategy falters and borrowing costs soar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Rachel Reeves first attended the International Monetary Fund (IMF) meeting in Washington a year ago, she brought with her a buoyant sense of optimism. The Labour government had just replaced the Conservatives after 14 years, the UK economy was showing signs of growth, inflation was retreating, and Reeves, as Chancellor, appeared ready to restore fiscal order with her first Budget. Since then, however, initial hopes have waned significantly, with economic challenges mounting and confidence faltering.</w:t>
      </w:r>
      <w:r/>
    </w:p>
    <w:p>
      <w:r/>
      <w:r>
        <w:t>The reality confronting Reeves now is starkly different. The ambitious tax-raising Budget last year reportedly wrecked business confidence, cost jobs, exacerbated inflationary pressures, and left public finances in a worse state than anticipated. Contrary to Reeves' claims of fiscal prudence compared to her Conservative predecessors, bond markets are signalling heightened alarm over Britain's borrowing credibility. The UK’s borrowing costs remain elevated—higher even than during the brief crisis triggered by former Prime Minister Liz Truss’s economic policies—and currently stand as the highest among G7 nations. This state of fiscal nervousness underpins concerns about the country’s economic resilience in a volatile global landscape.</w:t>
      </w:r>
      <w:r/>
    </w:p>
    <w:p>
      <w:r/>
      <w:r>
        <w:t>Economic data paints a mixed yet troubling picture. Labour’s promise to make the UK the fastest-growing economy in the G7 has faltered. According to IMF projections, the UK is now set to grow 1.3% in 2025—a slight upward revision from earlier forecasts—but growth is expected to slow in 2026. The economy is trailing behind the US and Canada, countries projected to outpace Britain in output, and the IMF highlights the UK among major economies struggling to rein in inflation. Inflation is predicted to remain stubbornly high at around 3.4% in 2025 and 2.5% in 2026, partly driven by transitory price shocks but still posing significant challenges, particularly for consumers and businesses alike.</w:t>
      </w:r>
      <w:r/>
    </w:p>
    <w:p>
      <w:r/>
      <w:r>
        <w:t>Labour’s policy approach has contributed to mixed labour market outcomes. The dismissal of Conservatives’ economic risks now rings hollow as unemployment has risen from 4.4% to 4.9% since Labour took office. Notably, the number of people on payrolls has declined by over a quarter of a million in under a year, with tens of thousands of job losses reported in recent months. Despite Labour’s claim of rising disposable incomes—approximately £800 more per household since their election—this increase is viewed largely as a consequence of inflation-busting pay raises pushed by unions, especially in the public sector, without matching productivity gains. Consequently, inflationary pressures remain entrenched, undermining consumer purchasing power and business cost structures.</w:t>
      </w:r>
      <w:r/>
    </w:p>
    <w:p>
      <w:r/>
      <w:r>
        <w:t>The economic strain is compounded by policy decisions such as the Chancellor’s increase in employers’ National Insurance contributions. This measure has added to inflationary drivers and compromised hopes for lower interest rates, negatively impacting key economic sectors like housing and business investment—both essential engines for growth. The ongoing uncertainty around imminent fiscal changes adds to economic instability. Rumours of further tax increases or a potential wealth tax have already caused capital to flow out of investment markets, with wealthy entrepreneurs reportedly relocating to countries with more favourable tax regimes.</w:t>
      </w:r>
      <w:r/>
    </w:p>
    <w:p>
      <w:r/>
      <w:r>
        <w:t>Critics argue that some of Labour’s economic difficulties stem from misplaced blame on factors such as Brexit. While Health Secretary Wes Streeting suggested Brexit partially accounts for economic woes, many analysts point out that Brexit’s disengagement from the European Union has enabled the UK to negotiate ambitious trade deals unavailable to EU member states. The UK’s accession to the Comprehensive and Progressive Agreement for Trans-Pacific Partnership (CPTPP) and trade agreements with the US and India illustrate opportunities for expanded global engagement that may benefit growth long term.</w:t>
      </w:r>
      <w:r/>
    </w:p>
    <w:p>
      <w:r/>
      <w:r>
        <w:t>Looking ahead, Reeves faces a critical Budget decision. The uncertainty leading up to her planned November Budget has already unsettled markets, and the Treasury is reportedly reassessing its fiscal buffer in response to higher borrowing costs, scrapped welfare savings, and downgraded growth forecasts. Initially targeting a modest buffer of around £9.9 billion to balance spending with revenues by 2030, government insiders now suggest the need to raise approximately £30 billion in additional taxes or spending cuts. This predicament puts Reeves at odds with earlier pledges not to repeat the sizeable tax hikes introduced last year.</w:t>
      </w:r>
      <w:r/>
    </w:p>
    <w:p>
      <w:r/>
      <w:r>
        <w:t>Fiscal experts, such as those from the Institute for Fiscal Studies (IFS), caution that simply increasing existing tax rates may harm the economy further. Instead, they advocate for targeted tax reforms—including reformed capital gains and property taxes—arguing such measures could raise revenue more efficiently. The IFS also opposes an annual wealth tax, a policy backed by some Labour figures, warning it could deter investment. Similarly, the National Institute of Economic and Social Research (NIESR) has recommended that Reeves consider increasing income tax rates despite her pre-election promises. NIESR argues this approach would be less damaging than hikes in VAT, corporate tax, or wealth levies.</w:t>
      </w:r>
      <w:r/>
    </w:p>
    <w:p>
      <w:r/>
      <w:r>
        <w:t>Economic forecasts remain subdued. Weaker growth has already widened projected deficits, with estimates of a £57 billion shortfall by 2029/30 if current trends continue. Inflation pressures, partly due to rising wages and increased employer contributions, are likely to limit cuts in Bank of England interest rates, further challenging the recovery of sectors like housing and business investment. The combination of sluggish growth, elevated inflation, and fiscal tightening raises fears of a "doom loop"—a shrinking economy requiring ever higher taxes to sustain public spending, thereby stifling future growth prospects.</w:t>
      </w:r>
      <w:r/>
    </w:p>
    <w:p>
      <w:r/>
      <w:r>
        <w:t>Ultimately, Reeves confronts a precarious economic moment. The early promise of a steady and responsible fiscal stewardship appears to have been overtaken by mounting financial strain and policy dilemmas. As global economic uncertainties loom, critics warn the UK remains ill-prepared for external shocks and internal weaknesses. The Chancellor’s next moves will be pivotal—whether she can navigate these challenges without further destabilising confidence or stymieing growth remains to be seen.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https://www.dailymail.co.uk/debate/article-15192201/global-economic-earthquake-set-strike-Britain-completely-unprepared-fear-Labours-Budget-worse-ALEX-BRUMMER.html?ns_mchannel=rss&amp;ns_campaign=1490&amp;ito=1490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https://www.reuters.com/sustainability/sustainable-finance-reporting/imf-nudges-up-uk-2025-growth-outlook-sees-more-inflation-2025-10-14/</w:t>
        </w:r>
      </w:hyperlink>
      <w:r>
        <w:t xml:space="preserve"> - The International Monetary Fund (IMF) has slightly increased its 2025 economic growth forecast for the UK to 1.3%, up by 0.1 percentage points, while lowering its 2026 forecast by the same margin. Despite this modest upgrade, the UK is projected to experience the highest inflation among major advanced economies in both years, averaging 3.4% in 2025 and 2.5% in 2026. The IMF attributes some of this inflation to temporary, one-off price increases and expects it to normalise by the end of 2026, slightly ahead of the Bank of England’s projections. The IMF's revised figures reflect a strong first-half performance in 2025 but note that total growth across 2025 and 2026 remains 0.4 percentage points below prior expectations before Donald Trump's election and new U.S. tariffs. British Finance Minister Rachel Reeves acknowledged the IMF's second consecutive upgrade but emphasised that economic challenges remain. The UK's per-capita GDP growth remains modest, and unemployment is expected to stay at a four-year high of 4.7%. Britain's economy ranks as the second-fastest-growing in the G7 in 2025, trailing only the U.S. and Canada, but inflation and high government borrowing costs continue to pose significant challenges.</w:t>
      </w:r>
      <w:r/>
    </w:p>
    <w:p>
      <w:pPr>
        <w:pStyle w:val="ListNumber"/>
        <w:spacing w:line="240" w:lineRule="auto"/>
        <w:ind w:left="720"/>
      </w:pPr>
      <w:r/>
      <w:hyperlink r:id="rId10">
        <w:r>
          <w:rPr>
            <w:color w:val="0000EE"/>
            <w:u w:val="single"/>
          </w:rPr>
          <w:t>https://www.reuters.com/world/uk/uk-finance-minister-seeks-promote-britain-safe-bet-uncertain-world-2025-10-14/</w:t>
        </w:r>
      </w:hyperlink>
      <w:r>
        <w:t xml:space="preserve"> - During meetings in Washington, British Finance Minister Rachel Reeves aims to position the UK as a fiscally responsible and attractive investment destination amid global uncertainty. Representing the Labour government elected in July 2024, Reeves seeks to contrast her administration with the short-lived Conservative government under former Prime Minister Liz Truss, whose economic approach triggered a market crisis in 2022. Despite the current government’s efforts, UK borrowing costs remain high—above those during Truss' tenure and the highest among G7 countries—raising concerns about the country’s financial credibility. Reeves is expected to unveil a budget in the coming month that may involve tax increases or spending cuts totalling up to £30 billion to meet fiscal targets by 2029/30. Meanwhile, the IMF’s chief economist noted no major risks in the UK’s budget strategy, attributing increased borrowing costs to global investor caution rather than domestic mismanagement. While in Washington, Reeves also plans to advocate for stricter sanctions on Russia and attract U.S. investors to the UK.</w:t>
      </w:r>
      <w:r/>
    </w:p>
    <w:p>
      <w:pPr>
        <w:pStyle w:val="ListNumber"/>
        <w:spacing w:line="240" w:lineRule="auto"/>
        <w:ind w:left="720"/>
      </w:pPr>
      <w:r/>
      <w:hyperlink r:id="rId11">
        <w:r>
          <w:rPr>
            <w:color w:val="0000EE"/>
            <w:u w:val="single"/>
          </w:rPr>
          <w:t>https://www.reuters.com/world/uk/uks-reeves-plans-build-bigger-budget-buffer-telegraph-2025-10-12/</w:t>
        </w:r>
      </w:hyperlink>
      <w:r>
        <w:t xml:space="preserve"> - UK Finance Minister Rachel Reeves is planning to increase the fiscal buffer in the upcoming November budget to enhance resilience against economic shocks, according to a report by the Sunday Telegraph. Previously, Reeves targeted a £9.9 billion buffer to meet her main fiscal rule—balancing day-to-day public spending with tax revenues by 2030. However, rising government borrowing costs, the scrapping of a £5 billion welfare savings plan, and downgraded growth forecasts from the budget watchdog have prompted a reassessment. Economic think tanks now estimate that she may need to raise around £30 billion in additional taxes. Treasury sources suggest Reeves is seeking a larger buffer to guard against bond market volatility and increasing borrowing costs. Though she previously raised taxes by £40 billion and vowed not to repeat it, higher taxes or spending cuts may now be required. Economists may support the move, noting that a larger buffer could reduce economic uncertainty caused by potential future tax hikes or spending cuts. The Treasury stated that the fiscal rules are aimed at reducing borrowing, keeping interest rates low, and allowing for more investment in public services.</w:t>
      </w:r>
      <w:r/>
    </w:p>
    <w:p>
      <w:pPr>
        <w:pStyle w:val="ListNumber"/>
        <w:spacing w:line="240" w:lineRule="auto"/>
        <w:ind w:left="720"/>
      </w:pPr>
      <w:r/>
      <w:hyperlink r:id="rId14">
        <w:r>
          <w:rPr>
            <w:color w:val="0000EE"/>
            <w:u w:val="single"/>
          </w:rPr>
          <w:t>https://www.reuters.com/world/uk/uks-reeves-should-use-budget-reform-tax-system-ifs-says-2025-10-12/</w:t>
        </w:r>
      </w:hyperlink>
      <w:r>
        <w:t xml:space="preserve"> - The Institute for Fiscal Studies (IFS) has urged UK finance minister Rachel Reeves to implement comprehensive tax reforms in her upcoming November budget, instead of merely increasing existing tax rates to raise the estimated £30 billion needed for public finance goals. The IFS highlights that raising tax rates on income, VAT, or social security—which Reeves and Prime Minister Keir Starmer have pledged not to do—would be less effective and potentially more harmful to the economy. Instead, the IFS recommends more rational and targeted approaches, such as reforming wealth-related taxes like capital gains tax and overhauling property taxation. One suggestion includes shifting local property tax burdens to areas with greater house price growth, such as London, and scrapping stamp duty. The IFS opposes an annual wealth tax, a policy backed by some in the Labour Party. Meanwhile, the National Institute of Economic and Social Research proposed breaking Reeves's tax pledge if necessary to prevent economically damaging revenue-raising strategies.</w:t>
      </w:r>
      <w:r/>
    </w:p>
    <w:p>
      <w:pPr>
        <w:pStyle w:val="ListNumber"/>
        <w:spacing w:line="240" w:lineRule="auto"/>
        <w:ind w:left="720"/>
      </w:pPr>
      <w:r/>
      <w:hyperlink r:id="rId15">
        <w:r>
          <w:rPr>
            <w:color w:val="0000EE"/>
            <w:u w:val="single"/>
          </w:rPr>
          <w:t>https://www.reuters.com/world/uk/uks-reeves-should-break-income-tax-promise-budget-think-tank-says-2025-10-09/</w:t>
        </w:r>
      </w:hyperlink>
      <w:r>
        <w:t xml:space="preserve"> - A report by the National Institute of Economic and Social Research (NIESR) advises UK Finance Minister Rachel Reeves to increase income tax in the upcoming budget, even if it means breaking a pre-election promise not to raise taxes on working people. The think tank argues that this option would be less economically disruptive compared to alternatives such as wealth taxes, VAT increases, or corporate tax hikes. Reeves and Prime Minister Keir Starmer had pledged not to raise income tax, national insurance contributions (NICs), or VAT for working people, or the main corporate tax. However, rising borrowing costs, scrapped welfare savings plans, and reduced growth forecasts are putting pressure on public finances. NIESR warns that a tax on wealth could deter savings and investment, while a land value tax would take time to implement. Income tax, despite impacting spending and work incentives, is considered a more efficient tool due to its broad base—requiring a smaller rate increase to generate the needed £30 billion revenue. Conversely, equivalent VAT hikes would more drastically cut personal income and GDP.</w:t>
      </w:r>
      <w:r/>
    </w:p>
    <w:p>
      <w:pPr>
        <w:pStyle w:val="ListNumber"/>
        <w:spacing w:line="240" w:lineRule="auto"/>
        <w:ind w:left="720"/>
      </w:pPr>
      <w:r/>
      <w:hyperlink r:id="rId13">
        <w:r>
          <w:rPr>
            <w:color w:val="0000EE"/>
            <w:u w:val="single"/>
          </w:rPr>
          <w:t>https://www.reuters.com/sustainability/sustainable-finance-reporting/uks-reeves-faces-pressure-hike-taxes-again-economy-stumbles-think-tank-says-2025-05-07/</w:t>
        </w:r>
      </w:hyperlink>
      <w:r>
        <w:t xml:space="preserve"> - British Finance Minister Rachel Reeves is under pressure to raise taxes again as her recent tax hike on employers has contributed to slower economic growth, risking her ability to meet fiscal targets by the end of the decade. The National Institute of Economic and Social Research (NIESR) estimates that weaker-than-expected growth could result in a £57 billion deficit in the 2029/30 tax year. Reeves had previously raised business taxes in November, leaving just a £10 billion margin to meet her balanced budget goal. NIESR recently lowered its UK growth forecast for 2025 from 1.5% to 1.2% and revised down its outlook through 2030, citing domestic factors over international trade issues. Economist Benjamin Caswell warned that Reeves’ limited budget leeway creates business uncertainty over potential further tax hikes, adversely influencing investment and hiring. Additionally, despite the slowing economy, inflation pressures—partly from rising wages and increased employer contributions—mean the Bank of England is expected to cut interest rates only twice in 2025. NIESR raised its inflation forecasts to 3.3% for 2025 and 3.1% for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92201/global-economic-earthquake-set-strike-Britain-completely-unprepared-fear-Labours-Budget-worse-ALEX-BRUMMER.html?ns_mchannel=rss&amp;ns_campaign=1490&amp;ito=1490" TargetMode="External"/><Relationship Id="rId10" Type="http://schemas.openxmlformats.org/officeDocument/2006/relationships/hyperlink" Target="https://www.reuters.com/world/uk/uk-finance-minister-seeks-promote-britain-safe-bet-uncertain-world-2025-10-14/" TargetMode="External"/><Relationship Id="rId11" Type="http://schemas.openxmlformats.org/officeDocument/2006/relationships/hyperlink" Target="https://www.reuters.com/world/uk/uks-reeves-plans-build-bigger-budget-buffer-telegraph-2025-10-12/" TargetMode="External"/><Relationship Id="rId12" Type="http://schemas.openxmlformats.org/officeDocument/2006/relationships/hyperlink" Target="https://www.reuters.com/sustainability/sustainable-finance-reporting/imf-nudges-up-uk-2025-growth-outlook-sees-more-inflation-2025-10-14/" TargetMode="External"/><Relationship Id="rId13" Type="http://schemas.openxmlformats.org/officeDocument/2006/relationships/hyperlink" Target="https://www.reuters.com/sustainability/sustainable-finance-reporting/uks-reeves-faces-pressure-hike-taxes-again-economy-stumbles-think-tank-says-2025-05-07/" TargetMode="External"/><Relationship Id="rId14" Type="http://schemas.openxmlformats.org/officeDocument/2006/relationships/hyperlink" Target="https://www.reuters.com/world/uk/uks-reeves-should-use-budget-reform-tax-system-ifs-says-2025-10-12/" TargetMode="External"/><Relationship Id="rId15" Type="http://schemas.openxmlformats.org/officeDocument/2006/relationships/hyperlink" Target="https://www.reuters.com/world/uk/uks-reeves-should-break-income-tax-promise-budget-think-tank-says-2025-10-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