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ASEAN navigates US tariff tensions amid strategic shifts in regional trade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Asia’s economies are seeking to stabilise their trade relations with the United States amid ongoing uncertainty caused by recent tariff disputes. The ripple effects of the trade war initiated by former US President Donald Trump have disrupted the tightly interconnected supply chains across the region, leaving exporters struggling to plan effectively. Southeast Asia, with its growing economic significance, remains a critical partner for the US, both commercially and strategically, particularly as it navigates the rising influence of China.</w:t>
      </w:r>
      <w:r/>
    </w:p>
    <w:p>
      <w:r/>
      <w:r>
        <w:t>This trade friction comes at a pivotal time. The United States has become an increasingly important export market for Southeast Asian countries such as Vietnam, the Philippines, Thailand, and Cambodia. Many American companies have also relocated manufacturing from China to the region, deepening economic ties. As a result, any new trade agreements announced, such as those recently being negotiated in Malaysia, attract considerable attention as potential indicators of the future landscape of US-ASEAN relations.</w:t>
      </w:r>
      <w:r/>
    </w:p>
    <w:p>
      <w:r/>
      <w:r>
        <w:t>According to official figures, the United States and the Association of Southeast Asian Nations (ASEAN) conducted goods and services trade amounting to an estimated $571.7 billion in 2024, marking a notable 13.4% increase from the previous year. This trade includes $123.5 billion in US goods exports and $96.1 billion in services exports. However, the US maintains a goods trade deficit with ASEAN, which widened 12.3% to $228.5 billion in 2024. These figures underscore ASEAN’s strategic importance as a trading partner, reinforcing why both sides have a strong interest in smoothing trade relations.</w:t>
      </w:r>
      <w:r/>
    </w:p>
    <w:p>
      <w:r/>
      <w:r>
        <w:t>Despite these ties, tensions escalated earlier this year when the US imposed tariffs on six out of nine Southeast Asian nations at significantly higher rates than those applied to other major economies. For instance, Cambodia faced tariffs as high as 49%, Vietnam 46%, and Malaysia 24%, compared with tariffs of 20% on the European Union and lower rates on Japan and India. In response, ASEAN adopted a cautious approach, calling for constructive dialogue rather than retaliatory measures. The bloc stressed its commitment to a multilateral trading system that is fair, predictable, and rules-based, reflecting their preference for diplomatic engagement amid trade disruptions.</w:t>
      </w:r>
      <w:r/>
    </w:p>
    <w:p>
      <w:r/>
      <w:r>
        <w:t>In parallel to these negotiations, ASEAN has intensified its internal coordination. The establishment of the ASEAN Geoeconomic Task Force (AGTF) aims to monitor evolving US policies and devise strategies to mitigate the tariffs' adverse impacts on trade, investment, supply chains, and private sector growth. The task force's insights and recommendations are expected to play a central role in discussions at the forthcoming 47th ASEAN Summit.</w:t>
      </w:r>
      <w:r/>
    </w:p>
    <w:p>
      <w:r/>
      <w:r>
        <w:t>Meanwhile, individual ASEAN members have been making their own moves to ease tensions. For example, Vietnam agreed to a provisional trade deal with the US, reducing reciprocal tariff rates to 20% for most goods, while retaining higher tariffs on items suspected of being transshipped from China. In a show of willingness, several ASEAN countries have also offered to purchase US agricultural products, commercial aircraft, military equipment, and energy resources—even if these come at a premium—as part of efforts to address trade imbalances.</w:t>
      </w:r>
      <w:r/>
    </w:p>
    <w:p>
      <w:r/>
      <w:r>
        <w:t>The International Monetary Fund (IMF) has weighed in on the broader regional context, urging Asian nations to lower non-tariff barriers and deepen intra-regional trade integration. The IMF highlighted Asia’s substantial reliance on Western markets, noting that while 60% of intermediate goods exports circulate within Asia, only 30% of final goods do so. The report suggested that reducing trade barriers and pursuing more comprehensive regional agreements could boost regional GDP by up to 1.4% overall and as much as 4% within ASEAN, by fostering diversification and resilience against external shocks like tariffs.</w:t>
      </w:r>
      <w:r/>
    </w:p>
    <w:p>
      <w:r/>
      <w:r>
        <w:t>China’s role in this complex trade dynamic cannot be understated. During a recent Southeast Asia tour, Chinese President Xi Jinping positioned China as a reliable economic partner amid the instability caused by US tariffs. Highlighting opposition to protectionism, China sought to deepen trade and investment ties, particularly with Cambodia, where 37 cooperative agreements were signed across sectors such as finance, health, and infrastructure. Xi’s engagement serves as a reminder of the competing geopolitical and economic influences at play in the region.</w:t>
      </w:r>
      <w:r/>
    </w:p>
    <w:p>
      <w:r/>
      <w:r>
        <w:t>In summary, Southeast Asia stands at a crossroads in its trade relationship with the United States. While tariffs have sparked uncertainty and posed challenges to regional exporters, ASEAN’s preference for dialogue, coupled with strategic negotiations by individual member states and the formation of cooperative task forces, points to a cautious but pragmatic path forward. The interplay of economic interests, diplomatic engagement, and regional integration efforts will shape the future stability and growth of trade in this pivotal part of the world.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(BBC), </w:t>
      </w:r>
      <w:hyperlink r:id="rId10">
        <w:r>
          <w:rPr>
            <w:color w:val="0000EE"/>
            <w:u w:val="single"/>
          </w:rPr>
          <w:t>[3]</w:t>
        </w:r>
      </w:hyperlink>
      <w:r>
        <w:t xml:space="preserve"> (Reuters)</w:t>
      </w:r>
      <w:r/>
    </w:p>
    <w:p>
      <w:pPr>
        <w:pStyle w:val="ListBullet"/>
        <w:spacing w:line="240" w:lineRule="auto"/>
        <w:ind w:left="720"/>
      </w:pPr>
      <w:r/>
      <w:r>
        <w:t xml:space="preserve">Paragraph 2 – </w:t>
      </w:r>
      <w:hyperlink r:id="rId9">
        <w:r>
          <w:rPr>
            <w:color w:val="0000EE"/>
            <w:u w:val="single"/>
          </w:rPr>
          <w:t>[1]</w:t>
        </w:r>
      </w:hyperlink>
      <w:r>
        <w:t xml:space="preserve"> (BBC), </w:t>
      </w:r>
      <w:hyperlink r:id="rId11">
        <w:r>
          <w:rPr>
            <w:color w:val="0000EE"/>
            <w:u w:val="single"/>
          </w:rPr>
          <w:t>[2]</w:t>
        </w:r>
      </w:hyperlink>
      <w:r>
        <w:t xml:space="preserve"> (USTR)</w:t>
      </w:r>
      <w:r/>
    </w:p>
    <w:p>
      <w:pPr>
        <w:pStyle w:val="ListBullet"/>
        <w:spacing w:line="240" w:lineRule="auto"/>
        <w:ind w:left="720"/>
      </w:pPr>
      <w:r/>
      <w:r>
        <w:t xml:space="preserve">Paragraph 3 – </w:t>
      </w:r>
      <w:hyperlink r:id="rId11">
        <w:r>
          <w:rPr>
            <w:color w:val="0000EE"/>
            <w:u w:val="single"/>
          </w:rPr>
          <w:t>[2]</w:t>
        </w:r>
      </w:hyperlink>
      <w:r>
        <w:t xml:space="preserve"> (USTR), </w:t>
      </w:r>
      <w:hyperlink r:id="rId9">
        <w:r>
          <w:rPr>
            <w:color w:val="0000EE"/>
            <w:u w:val="single"/>
          </w:rPr>
          <w:t>[1]</w:t>
        </w:r>
      </w:hyperlink>
      <w:r>
        <w:t xml:space="preserve"> (BBC)</w:t>
      </w:r>
      <w:r/>
    </w:p>
    <w:p>
      <w:pPr>
        <w:pStyle w:val="ListBullet"/>
        <w:spacing w:line="240" w:lineRule="auto"/>
        <w:ind w:left="720"/>
      </w:pPr>
      <w:r/>
      <w:r>
        <w:t xml:space="preserve">Paragraph 4 – </w:t>
      </w:r>
      <w:hyperlink r:id="rId10">
        <w:r>
          <w:rPr>
            <w:color w:val="0000EE"/>
            <w:u w:val="single"/>
          </w:rPr>
          <w:t>[3]</w:t>
        </w:r>
      </w:hyperlink>
      <w:r>
        <w:t xml:space="preserve"> (Reuters)</w:t>
      </w:r>
      <w:r/>
    </w:p>
    <w:p>
      <w:pPr>
        <w:pStyle w:val="ListBullet"/>
        <w:spacing w:line="240" w:lineRule="auto"/>
        <w:ind w:left="720"/>
      </w:pPr>
      <w:r/>
      <w:r>
        <w:t xml:space="preserve">Paragraph 5 – </w:t>
      </w:r>
      <w:hyperlink r:id="rId12">
        <w:r>
          <w:rPr>
            <w:color w:val="0000EE"/>
            <w:u w:val="single"/>
          </w:rPr>
          <w:t>[5]</w:t>
        </w:r>
      </w:hyperlink>
      <w:r>
        <w:t xml:space="preserve"> (US-ASEAN Business Council)</w:t>
      </w:r>
      <w:r/>
    </w:p>
    <w:p>
      <w:pPr>
        <w:pStyle w:val="ListBullet"/>
        <w:spacing w:line="240" w:lineRule="auto"/>
        <w:ind w:left="720"/>
      </w:pPr>
      <w:r/>
      <w:r>
        <w:t xml:space="preserve">Paragraph 6 – </w:t>
      </w:r>
      <w:hyperlink r:id="rId13">
        <w:r>
          <w:rPr>
            <w:color w:val="0000EE"/>
            <w:u w:val="single"/>
          </w:rPr>
          <w:t>[6]</w:t>
        </w:r>
      </w:hyperlink>
      <w:r>
        <w:t xml:space="preserve"> (Asia Times)</w:t>
      </w:r>
      <w:r/>
    </w:p>
    <w:p>
      <w:pPr>
        <w:pStyle w:val="ListBullet"/>
        <w:spacing w:line="240" w:lineRule="auto"/>
        <w:ind w:left="720"/>
      </w:pPr>
      <w:r/>
      <w:r>
        <w:t xml:space="preserve">Paragraph 7 – </w:t>
      </w:r>
      <w:hyperlink r:id="rId14">
        <w:r>
          <w:rPr>
            <w:color w:val="0000EE"/>
            <w:u w:val="single"/>
          </w:rPr>
          <w:t>[4]</w:t>
        </w:r>
      </w:hyperlink>
      <w:r>
        <w:t xml:space="preserve"> (IMF)</w:t>
      </w:r>
      <w:r/>
    </w:p>
    <w:p>
      <w:pPr>
        <w:pStyle w:val="ListBullet"/>
        <w:spacing w:line="240" w:lineRule="auto"/>
        <w:ind w:left="720"/>
      </w:pPr>
      <w:r/>
      <w:r>
        <w:t xml:space="preserve">Paragraph 8 – </w:t>
      </w:r>
      <w:hyperlink r:id="rId15">
        <w:r>
          <w:rPr>
            <w:color w:val="0000EE"/>
            <w:u w:val="single"/>
          </w:rPr>
          <w:t>[7]</w:t>
        </w:r>
      </w:hyperlink>
      <w:r>
        <w:t xml:space="preserve"> (AP News)</w:t>
      </w:r>
      <w:r/>
    </w:p>
    <w:p>
      <w:pPr>
        <w:pStyle w:val="ListBullet"/>
        <w:spacing w:line="240" w:lineRule="auto"/>
        <w:ind w:left="720"/>
      </w:pPr>
      <w:r/>
      <w:r>
        <w:t xml:space="preserve">Paragraph 9 – </w:t>
      </w:r>
      <w:hyperlink r:id="rId9">
        <w:r>
          <w:rPr>
            <w:color w:val="0000EE"/>
            <w:u w:val="single"/>
          </w:rPr>
          <w:t>[1]</w:t>
        </w:r>
      </w:hyperlink>
      <w:r>
        <w:t xml:space="preserve"> (BBC), </w:t>
      </w:r>
      <w:hyperlink r:id="rId12">
        <w:r>
          <w:rPr>
            <w:color w:val="0000EE"/>
            <w:u w:val="single"/>
          </w:rPr>
          <w:t>[5]</w:t>
        </w:r>
      </w:hyperlink>
      <w:r>
        <w:t xml:space="preserve"> (US-ASEAN Business Council), </w:t>
      </w:r>
      <w:hyperlink r:id="rId10">
        <w:r>
          <w:rPr>
            <w:color w:val="0000EE"/>
            <w:u w:val="single"/>
          </w:rPr>
          <w:t>[3]</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https://www.bbc.co.uk/news/live/cvgkw8rvznet</w:t>
        </w:r>
      </w:hyperlink>
      <w:r>
        <w:t xml:space="preserve"> - Please view link - unable to able to access data</w:t>
      </w:r>
      <w:r/>
    </w:p>
    <w:p>
      <w:pPr>
        <w:pStyle w:val="ListNumber"/>
        <w:spacing w:line="240" w:lineRule="auto"/>
        <w:ind w:left="720"/>
      </w:pPr>
      <w:r/>
      <w:hyperlink r:id="rId11">
        <w:r>
          <w:rPr>
            <w:color w:val="0000EE"/>
            <w:u w:val="single"/>
          </w:rPr>
          <w:t>https://ustr.gov/countries-regions/southeast-asia-pacific/association-southeast-asian-nations-asean</w:t>
        </w:r>
      </w:hyperlink>
      <w:r>
        <w:t xml:space="preserve"> - The United States maintains a robust trade and investment relationship with the ten countries of the Association of Southeast Asian Nations (ASEAN). In 2024, U.S. goods and services trade with ASEAN totalled an estimated $571.7 billion, marking a 13.4% increase from 2023. This includes $123.5 billion in goods exports and $96.1 billion in services exports. The U.S. goods trade deficit with ASEAN was $228.5 billion in 2024, a 12.3% increase over the previous year. These figures underscore the strategic importance of ASEAN as a trading partner for the U.S.</w:t>
      </w:r>
      <w:r/>
    </w:p>
    <w:p>
      <w:pPr>
        <w:pStyle w:val="ListNumber"/>
        <w:spacing w:line="240" w:lineRule="auto"/>
        <w:ind w:left="720"/>
      </w:pPr>
      <w:r/>
      <w:hyperlink r:id="rId10">
        <w:r>
          <w:rPr>
            <w:color w:val="0000EE"/>
            <w:u w:val="single"/>
          </w:rPr>
          <w:t>https://www.reuters.com/world/asean-bloc-says-it-wont-impose-retaliatory-measures-over-us-tariffs-2025-04-10/</w:t>
        </w:r>
      </w:hyperlink>
      <w:r>
        <w:t xml:space="preserve"> - In April 2025, the Association of Southeast Asian Nations (ASEAN) called for constructive dialogue with the United States regarding newly imposed trade tariffs, opting against retaliatory actions. This response followed U.S. President Donald Trump's announcement of a 90-day pause on tariffs that had originally targeted six out of nine Southeast Asian nations with significantly higher rates—ranging from 32% to 49%—than those levied on the European Union (20%), Japan (24%), and India (27%). ASEAN expressed concern over the potential impact of these tariffs and emphasized their commitment to a predictable, fair, and rules-based multilateral trading system.</w:t>
      </w:r>
      <w:r/>
    </w:p>
    <w:p>
      <w:pPr>
        <w:pStyle w:val="ListNumber"/>
        <w:spacing w:line="240" w:lineRule="auto"/>
        <w:ind w:left="720"/>
      </w:pPr>
      <w:r/>
      <w:hyperlink r:id="rId14">
        <w:r>
          <w:rPr>
            <w:color w:val="0000EE"/>
            <w:u w:val="single"/>
          </w:rPr>
          <w:t>https://www.reuters.com/world/asia-pacific/imf-urges-asia-cut-trade-barriers-beat-us-tariffs-2025-10-24/</w:t>
        </w:r>
      </w:hyperlink>
      <w:r>
        <w:t xml:space="preserve"> - In October 2025, the International Monetary Fund (IMF) urged Asian nations to reduce non-tariff barriers and deepen intra-regional trade integration to buffer against U.S. tariffs and global financial shocks. The IMF highlighted that while 60% of Asia’s intermediate goods exports are intra-regional, only 30% of final goods exports remain within Asia, indicating a heavy reliance on Western markets. The report suggested that reducing trade barriers and pursuing broader regional agreements would promote diversification, reduce costs, and stabilize growth, potentially boosting GDP by up to 1.4% regionally and as much as 4% in ASEAN countries through increased regional trade.</w:t>
      </w:r>
      <w:r/>
    </w:p>
    <w:p>
      <w:pPr>
        <w:pStyle w:val="ListNumber"/>
        <w:spacing w:line="240" w:lineRule="auto"/>
        <w:ind w:left="720"/>
      </w:pPr>
      <w:r/>
      <w:hyperlink r:id="rId12">
        <w:r>
          <w:rPr>
            <w:color w:val="0000EE"/>
            <w:u w:val="single"/>
          </w:rPr>
          <w:t>https://www.usasean.org/article/us-asean-relations-remain-pivotal-amidst-shifting-dynamics-trade-and-investment</w:t>
        </w:r>
      </w:hyperlink>
      <w:r>
        <w:t xml:space="preserve"> - The U.S.-ASEAN Business Council discusses the evolving trade dynamics between the United States and ASEAN countries amid recent U.S. tariff impositions. As of October 7, 2025, the U.S. had announced varying tariff rates on ASEAN nations, with Cambodia facing the highest at 49%. In response, ASEAN Economic Ministers established the ASEAN Geoeconomic Task Force (AGTF) to monitor U.S. policy changes and mitigate impacts on trade, investment, global supply chains, and the private sector. The AGTF aims to present its findings and recommendations to a joint session of the ASEAN Foreign Ministers and Economic Ministers ahead of the 47th ASEAN Summit in October 2025.</w:t>
      </w:r>
      <w:r/>
    </w:p>
    <w:p>
      <w:pPr>
        <w:pStyle w:val="ListNumber"/>
        <w:spacing w:line="240" w:lineRule="auto"/>
        <w:ind w:left="720"/>
      </w:pPr>
      <w:r/>
      <w:hyperlink r:id="rId13">
        <w:r>
          <w:rPr>
            <w:color w:val="0000EE"/>
            <w:u w:val="single"/>
          </w:rPr>
          <w:t>https://asiatimes.com/2025/07/asean-on-the-hot-seat-in-us-tariff-negotiations/</w:t>
        </w:r>
      </w:hyperlink>
      <w:r>
        <w:t xml:space="preserve"> - In July 2025, ASEAN countries, including Vietnam, Indonesia, and the Philippines, engaged in trade negotiations with the United States to address the impact of U.S. tariffs. Vietnam agreed to a provisional trade agreement with the U.S., reducing its reciprocal tariff to 20% for most goods, while maintaining a 40% tariff on goods suspected of being 'transshipped' from China. In exchange, Vietnam allowed tariff-free entry to all imports from the U.S. Other ASEAN members offered to purchase U.S. agricultural products, commercial aircraft, military equipment, and oil and gas, even if these cost more than other sources, to reduce their trade surpluses with the U.S.</w:t>
      </w:r>
      <w:r/>
    </w:p>
    <w:p>
      <w:pPr>
        <w:pStyle w:val="ListNumber"/>
        <w:spacing w:line="240" w:lineRule="auto"/>
        <w:ind w:left="720"/>
      </w:pPr>
      <w:r/>
      <w:hyperlink r:id="rId15">
        <w:r>
          <w:rPr>
            <w:color w:val="0000EE"/>
            <w:u w:val="single"/>
          </w:rPr>
          <w:t>https://apnews.com/article/304a9e862460312dcb778da721579124</w:t>
        </w:r>
      </w:hyperlink>
      <w:r>
        <w:t xml:space="preserve"> - In April 2025, Chinese President Xi Jinping concluded a three-nation Southeast Asia tour in Cambodia, emphasising China's reliability amid economic instability triggered by U.S. President Donald Trump's proposed tariffs. These tariffs, especially high for Cambodia (up to 49%), Vietnam (46%), and Malaysia (24%), posed serious threats to the region's export-driven economies. Xi positioned China as a stable partner, advocating opposition to protectionism and boosting trade and investment ties. Cambodia highlighted the visit's role in deepening their Comprehensive Strategic Partnership, with both nations signing 37 agreements spanning numerous sectors, including finance, health, and infrastructure.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uk/news/live/cvgkw8rvznet" TargetMode="External"/><Relationship Id="rId10" Type="http://schemas.openxmlformats.org/officeDocument/2006/relationships/hyperlink" Target="https://www.reuters.com/world/asean-bloc-says-it-wont-impose-retaliatory-measures-over-us-tariffs-2025-04-10/" TargetMode="External"/><Relationship Id="rId11" Type="http://schemas.openxmlformats.org/officeDocument/2006/relationships/hyperlink" Target="https://ustr.gov/countries-regions/southeast-asia-pacific/association-southeast-asian-nations-asean" TargetMode="External"/><Relationship Id="rId12" Type="http://schemas.openxmlformats.org/officeDocument/2006/relationships/hyperlink" Target="https://www.usasean.org/article/us-asean-relations-remain-pivotal-amidst-shifting-dynamics-trade-and-investment" TargetMode="External"/><Relationship Id="rId13" Type="http://schemas.openxmlformats.org/officeDocument/2006/relationships/hyperlink" Target="https://asiatimes.com/2025/07/asean-on-the-hot-seat-in-us-tariff-negotiations/" TargetMode="External"/><Relationship Id="rId14" Type="http://schemas.openxmlformats.org/officeDocument/2006/relationships/hyperlink" Target="https://www.reuters.com/world/asia-pacific/imf-urges-asia-cut-trade-barriers-beat-us-tariffs-2025-10-24/" TargetMode="External"/><Relationship Id="rId15" Type="http://schemas.openxmlformats.org/officeDocument/2006/relationships/hyperlink" Target="https://apnews.com/article/304a9e862460312dcb778da72157912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