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HSBC’s strategic shift accelerates amid profit decline and legal charges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HSBC, Europe’s largest bank, reported a 14 percent drop in pre-tax profits for the third quarter, with results falling short of analyst expectations amid ongoing restructuring and significant legal charges. The bank’s pre-tax profit declined to $7.3 billion for the three months ending September 30, down from the previous year, as net income, including credit impairments, shrank to $16.8 billion.</w:t>
      </w:r>
      <w:r/>
    </w:p>
    <w:p>
      <w:r/>
      <w:r>
        <w:t>Operating expenses surged 20 percent to $9.1 billion, driven partly by severance costs related to the extensive restructuring plan initiated by CEO Georges Elhedery, who took the helm last year. Among the notable strategic moves under Elhedery’s leadership is HSBC’s decision to exit investment banking in the US and Europe and focus increasingly on its core strength in Asia. The bank also announced a HK$106 billion ($13.6 billion) offer to buy out minority investors in Hong Kong’s Hang Seng Bank, signalling a willingness to invest amidst cost-cutting elsewhere.</w:t>
      </w:r>
      <w:r/>
    </w:p>
    <w:p>
      <w:r/>
      <w:r>
        <w:t>However, a large $1.1 billion legal provision for a lawsuit stemming from the Bernard Madoff Ponzi scheme weighed heavily on results, marking a key factor in the profit slide. This charge followed a Luxembourg court’s denial of HSBC’s appeal, forcing the bank to increase its set-aside for expected litigation costs. The provision also reduced HSBC’s common equity tier one capital ratio by 0.15 percentage points, a crucial measure of the bank’s financial resilience. CEO Elhedery commented that despite such historical legal matters, the bank is progressing towards becoming “a simple, more agile, focused bank, built on our core strengths.”</w:t>
      </w:r>
      <w:r/>
    </w:p>
    <w:p>
      <w:r/>
      <w:r>
        <w:t>HSBC’s latest financial disclosure comes as part of a broader global reorganisation plan aimed at simplifying its structure and accelerating strategic execution. The bank now operates through four key business units, with senior leadership appointed to support this new framework. According to an official HSBC statement, this restructuring enables the bank to target areas with clear competitive advantage and growth potential, dovetailing with its pivot towards Asia, the region where most of its profits are generated.</w:t>
      </w:r>
      <w:r/>
    </w:p>
    <w:p>
      <w:r/>
      <w:r>
        <w:t>Despite the setbacks, HSBC remains optimistic about its future prospects. The bank recently raised its net interest income forecast for 2025 to $43 billion, up from $42 billion, indicating confidence in revenue growth driven by rising interest rates. Yet, HSBC has faced challenges beyond its legal issues. It is set to record a loss estimated between $1.2 billion and $1.6 billion after reducing its stake in China’s Bank of Communications due to dilution from a large private share placement by the Chinese lender. Nevertheless, HSBC asserts this will have limited impact on its capital ratios or dividend payments.</w:t>
      </w:r>
      <w:r/>
    </w:p>
    <w:p>
      <w:r/>
      <w:r>
        <w:t>The bank’s chairman, Mark Tucker, has also dispelled speculation about spinning off HSBC’s Asia operations, confirming shareholders do not support such a move. This stance came despite backing from significant investors such as Ping An Asset Management. HSBC’s board concluded that proposals for minority listings or consolidations of its Asia Pacific businesses would likely result in a loss of shareholder value and lower dividends, reinforcing commitment to the current corporate structure.</w:t>
      </w:r>
      <w:r/>
    </w:p>
    <w:p>
      <w:r/>
      <w:r>
        <w:t>In January, HSBC unveiled plans for the largest retreat from investment banking in decades, winding down its mergers and acquisitions and equities businesses in Europe, the UK, and the Americas. This retrenchment aligns with the bank’s broader strategy to concentrate on its Asian markets, where it sees the highest potential for sustainable profitability. The bank will retain certain debt capital markets activities globally but intends to scale down equity capital markets efforts in Western regions.</w:t>
      </w:r>
      <w:r/>
    </w:p>
    <w:p>
      <w:r/>
      <w:r>
        <w:t>Overall, HSBC’s third-quarter results underscore the complex balancing act it faces amid restructuring costs, legal challenges, and strategic refocusing. While profits have declined and charges related to past matters persist, the bank’s leadership projects confidence that ongoing changes will position HSBC for renewed growth and agility in an increasingly competitive global banking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(Financial Times), </w:t>
      </w:r>
      <w:hyperlink r:id="rId10">
        <w:r>
          <w:rPr>
            <w:color w:val="0000EE"/>
            <w:u w:val="single"/>
          </w:rPr>
          <w:t>[2]</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(Financial Times), </w:t>
      </w:r>
      <w:hyperlink r:id="rId11">
        <w:r>
          <w:rPr>
            <w:color w:val="0000EE"/>
            <w:u w:val="single"/>
          </w:rPr>
          <w:t>[7]</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(Financial Times), </w:t>
      </w:r>
      <w:hyperlink r:id="rId10">
        <w:r>
          <w:rPr>
            <w:color w:val="0000EE"/>
            <w:u w:val="single"/>
          </w:rPr>
          <w:t>[2]</w:t>
        </w:r>
      </w:hyperlink>
      <w:r>
        <w:t xml:space="preserve"> (Reuters)</w:t>
      </w:r>
      <w:r/>
    </w:p>
    <w:p>
      <w:pPr>
        <w:pStyle w:val="ListBullet"/>
        <w:spacing w:line="240" w:lineRule="auto"/>
        <w:ind w:left="720"/>
      </w:pPr>
      <w:r/>
      <w:r>
        <w:t xml:space="preserve">Paragraph 4 – </w:t>
      </w:r>
      <w:hyperlink r:id="rId12">
        <w:r>
          <w:rPr>
            <w:color w:val="0000EE"/>
            <w:u w:val="single"/>
          </w:rPr>
          <w:t>[3]</w:t>
        </w:r>
      </w:hyperlink>
      <w:r>
        <w:t xml:space="preserve"> (HSBC), </w:t>
      </w:r>
      <w:hyperlink r:id="rId9">
        <w:r>
          <w:rPr>
            <w:color w:val="0000EE"/>
            <w:u w:val="single"/>
          </w:rPr>
          <w:t>[1]</w:t>
        </w:r>
      </w:hyperlink>
      <w:r>
        <w:t xml:space="preserve"> (Financial Times)</w:t>
      </w:r>
      <w:r/>
    </w:p>
    <w:p>
      <w:pPr>
        <w:pStyle w:val="ListBullet"/>
        <w:spacing w:line="240" w:lineRule="auto"/>
        <w:ind w:left="720"/>
      </w:pPr>
      <w:r/>
      <w:r>
        <w:t xml:space="preserve">Paragraph 5 – </w:t>
      </w:r>
      <w:hyperlink r:id="rId10">
        <w:r>
          <w:rPr>
            <w:color w:val="0000EE"/>
            <w:u w:val="single"/>
          </w:rPr>
          <w:t>[2]</w:t>
        </w:r>
      </w:hyperlink>
      <w:r>
        <w:t xml:space="preserve"> (Reuters), </w:t>
      </w:r>
      <w:hyperlink r:id="rId13">
        <w:r>
          <w:rPr>
            <w:color w:val="0000EE"/>
            <w:u w:val="single"/>
          </w:rPr>
          <w:t>[4]</w:t>
        </w:r>
      </w:hyperlink>
      <w:r>
        <w:t xml:space="preserve"> (Reuters)</w:t>
      </w:r>
      <w:r/>
    </w:p>
    <w:p>
      <w:pPr>
        <w:pStyle w:val="ListBullet"/>
        <w:spacing w:line="240" w:lineRule="auto"/>
        <w:ind w:left="720"/>
      </w:pPr>
      <w:r/>
      <w:r>
        <w:t xml:space="preserve">Paragraph 6 – </w:t>
      </w:r>
      <w:hyperlink r:id="rId14">
        <w:r>
          <w:rPr>
            <w:color w:val="0000EE"/>
            <w:u w:val="single"/>
          </w:rPr>
          <w:t>[5]</w:t>
        </w:r>
      </w:hyperlink>
      <w:r>
        <w:t xml:space="preserve"> (Reuters), </w:t>
      </w:r>
      <w:hyperlink r:id="rId15">
        <w:r>
          <w:rPr>
            <w:color w:val="0000EE"/>
            <w:u w:val="single"/>
          </w:rPr>
          <w:t>[6]</w:t>
        </w:r>
      </w:hyperlink>
      <w:r>
        <w:t xml:space="preserve"> (HSBC)</w:t>
      </w:r>
      <w:r/>
    </w:p>
    <w:p>
      <w:pPr>
        <w:pStyle w:val="ListBullet"/>
        <w:spacing w:line="240" w:lineRule="auto"/>
        <w:ind w:left="720"/>
      </w:pPr>
      <w:r/>
      <w:r>
        <w:t xml:space="preserve">Paragraph 7 – </w:t>
      </w:r>
      <w:hyperlink r:id="rId11">
        <w:r>
          <w:rPr>
            <w:color w:val="0000EE"/>
            <w:u w:val="single"/>
          </w:rPr>
          <w:t>[7]</w:t>
        </w:r>
      </w:hyperlink>
      <w:r>
        <w:t xml:space="preserve"> (Reuters)</w:t>
      </w:r>
      <w:r/>
    </w:p>
    <w:p>
      <w:pPr>
        <w:pStyle w:val="ListBullet"/>
        <w:spacing w:line="240" w:lineRule="auto"/>
        <w:ind w:left="720"/>
      </w:pPr>
      <w:r/>
      <w:r>
        <w:t xml:space="preserve">Paragraph 8 – </w:t>
      </w:r>
      <w:hyperlink r:id="rId9">
        <w:r>
          <w:rPr>
            <w:color w:val="0000EE"/>
            <w:u w:val="single"/>
          </w:rPr>
          <w:t>[1]</w:t>
        </w:r>
      </w:hyperlink>
      <w:r>
        <w:t xml:space="preserve"> (Financial Times), </w:t>
      </w:r>
      <w:hyperlink r:id="rId10">
        <w:r>
          <w:rPr>
            <w:color w:val="0000EE"/>
            <w:u w:val="single"/>
          </w:rPr>
          <w:t>[2]</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https://www.ft.com/content/611b8dd2-1f46-4d6d-b583-6701700f8b60</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https://www.reuters.com/business/finance/hsbc-third-quarter-profit-slides-14-hit-by-14-billion-litigation-charge-2025-10-28/</w:t>
        </w:r>
      </w:hyperlink>
      <w:r>
        <w:t xml:space="preserve"> - HSBC Holdings reported a 14% decline in third-quarter pre-tax profit, primarily due to a $1.1 billion legal charge related to a partial loss in an appeal concerning Bernard Madoff's Ponzi scheme. Despite this, the bank raised its net interest income forecast for 2025 to $43 billion, up from the previous estimate of $42 billion. CEO Georges Elhedery emphasized that the bank's strategic execution continues to drive positive results, even amid historical legal challenges.</w:t>
      </w:r>
      <w:r/>
    </w:p>
    <w:p>
      <w:pPr>
        <w:pStyle w:val="ListNumber"/>
        <w:spacing w:line="240" w:lineRule="auto"/>
        <w:ind w:left="720"/>
      </w:pPr>
      <w:r/>
      <w:hyperlink r:id="rId12">
        <w:r>
          <w:rPr>
            <w:color w:val="0000EE"/>
            <w:u w:val="single"/>
          </w:rPr>
          <w:t>https://www.hsbc.com/news-and-views/news/media-releases/2024/hsbc-announces-completion-of-next-stage-of-global-reorganisation</w:t>
        </w:r>
      </w:hyperlink>
      <w:r>
        <w:t xml:space="preserve"> - HSBC announced the completion of the next stage of its global reorganisation plan, aiming to simplify the bank's organisational structure and accelerate the delivery of its strategy. The changes involve operating through four key businesses, with senior leadership teams appointed across all four businesses and the wider Group Operating Committee. CEO Georges Elhedery stated that the new structure will help the bank focus on areas with clear competitive advantage and growth opportunities.</w:t>
      </w:r>
      <w:r/>
    </w:p>
    <w:p>
      <w:pPr>
        <w:pStyle w:val="ListNumber"/>
        <w:spacing w:line="240" w:lineRule="auto"/>
        <w:ind w:left="720"/>
      </w:pPr>
      <w:r/>
      <w:hyperlink r:id="rId13">
        <w:r>
          <w:rPr>
            <w:color w:val="0000EE"/>
            <w:u w:val="single"/>
          </w:rPr>
          <w:t>https://www.reuters.com/business/finance/hsbc-sees-up-16-billion-loss-china-bank-stake-reduction-2025-04-29/</w:t>
        </w:r>
      </w:hyperlink>
      <w:r>
        <w:t xml:space="preserve"> - HSBC announced plans to reduce its stake in China's Bank of Communications (BOCOM) from 19.03% to approximately 16% due to BOCOM’s new private share placement. This move is part of a broader fundraising effort by China’s major state-owned banks to raise 520 billion yuan ($71.5 billion). HSBC's loss from the stake dilution, estimated between $1.2 billion and $1.6 billion, will be recorded in its income statement but is not expected to significantly affect capital ratios or dividend payouts.</w:t>
      </w:r>
      <w:r/>
    </w:p>
    <w:p>
      <w:pPr>
        <w:pStyle w:val="ListNumber"/>
        <w:spacing w:line="240" w:lineRule="auto"/>
        <w:ind w:left="720"/>
      </w:pPr>
      <w:r/>
      <w:hyperlink r:id="rId14">
        <w:r>
          <w:rPr>
            <w:color w:val="0000EE"/>
            <w:u w:val="single"/>
          </w:rPr>
          <w:t>https://www.reuters.com/business/finance/hsbcs-chairman-says-asia-business-spin-off-will-not-happen-2024-04-03/</w:t>
        </w:r>
      </w:hyperlink>
      <w:r>
        <w:t xml:space="preserve"> - HSBC's chairman, Mark Tucker, confirmed that there will be no spin-off of the bank's Asian business. At a shareholders' meeting in Hong Kong, Tucker stated that the idea lacked support among shareholders, evidenced by the rejection of a related resolution at the previous year's AGM. Despite backing from investor Ping An, the majority of HSBC's investors supported the current structure. The bank also reported a 78% increase in 2023 pre-tax profit to $30.3 billion, though this fell short of the $34.1 billion forecast due to a significant impairment on its stake in China's Bank of Communications.</w:t>
      </w:r>
      <w:r/>
    </w:p>
    <w:p>
      <w:pPr>
        <w:pStyle w:val="ListNumber"/>
        <w:spacing w:line="240" w:lineRule="auto"/>
        <w:ind w:left="720"/>
      </w:pPr>
      <w:r/>
      <w:hyperlink r:id="rId15">
        <w:r>
          <w:rPr>
            <w:color w:val="0000EE"/>
            <w:u w:val="single"/>
          </w:rPr>
          <w:t>https://www.hsbc.com/news-and-media/media-releases/2023/hsbc-response-to-statement-by-ping-an-asset-management-company</w:t>
        </w:r>
      </w:hyperlink>
      <w:r>
        <w:t xml:space="preserve"> - HSBC responded to a statement by Ping An Asset Management Company, addressing proposals for a minority listing of HSBC’s Asia Pacific businesses or a consolidation of HSBC’s Asia Pacific businesses under a single listing. The bank concluded that these structural options would result in a material loss of value for shareholders and lower dividends. HSBC emphasized that its existing strategy is delivering improving returns and dividends, and the board recommended that shareholders vote against the proposed resolutions.</w:t>
      </w:r>
      <w:r/>
    </w:p>
    <w:p>
      <w:pPr>
        <w:pStyle w:val="ListNumber"/>
        <w:spacing w:line="240" w:lineRule="auto"/>
        <w:ind w:left="720"/>
      </w:pPr>
      <w:r/>
      <w:hyperlink r:id="rId11">
        <w:r>
          <w:rPr>
            <w:color w:val="0000EE"/>
            <w:u w:val="single"/>
          </w:rPr>
          <w:t>https://www.reuters.com/business/finance/hsbc-plans-biggest-investment-banking-retrenchment-decades-memo-shows-2025-01-28/</w:t>
        </w:r>
      </w:hyperlink>
      <w:r>
        <w:t xml:space="preserve"> - HSBC plans to wind down its M&amp;A and equities businesses in Europe, Britain, and the Americas to focus more on Asia, where it earns most of its profits. The decision marks HSBC's significant retrenchment from investment banking in decades. CEO Georges Elhedery is leading a major cost-cutting initiative since taking charge in September. HSBC will retain its debt capital markets and leveraged acquisition finance operations globally but will scale down its equity capital markets (ECM) capabilities in Europe and the Americas.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611b8dd2-1f46-4d6d-b583-6701700f8b60" TargetMode="External"/><Relationship Id="rId10" Type="http://schemas.openxmlformats.org/officeDocument/2006/relationships/hyperlink" Target="https://www.reuters.com/business/finance/hsbc-third-quarter-profit-slides-14-hit-by-14-billion-litigation-charge-2025-10-28/" TargetMode="External"/><Relationship Id="rId11" Type="http://schemas.openxmlformats.org/officeDocument/2006/relationships/hyperlink" Target="https://www.reuters.com/business/finance/hsbc-plans-biggest-investment-banking-retrenchment-decades-memo-shows-2025-01-28/" TargetMode="External"/><Relationship Id="rId12" Type="http://schemas.openxmlformats.org/officeDocument/2006/relationships/hyperlink" Target="https://www.hsbc.com/news-and-views/news/media-releases/2024/hsbc-announces-completion-of-next-stage-of-global-reorganisation" TargetMode="External"/><Relationship Id="rId13" Type="http://schemas.openxmlformats.org/officeDocument/2006/relationships/hyperlink" Target="https://www.reuters.com/business/finance/hsbc-sees-up-16-billion-loss-china-bank-stake-reduction-2025-04-29/" TargetMode="External"/><Relationship Id="rId14" Type="http://schemas.openxmlformats.org/officeDocument/2006/relationships/hyperlink" Target="https://www.reuters.com/business/finance/hsbcs-chairman-says-asia-business-spin-off-will-not-happen-2024-04-03/" TargetMode="External"/><Relationship Id="rId15" Type="http://schemas.openxmlformats.org/officeDocument/2006/relationships/hyperlink" Target="https://www.hsbc.com/news-and-media/media-releases/2023/hsbc-response-to-statement-by-ping-an-asset-management-compan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