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industrial innovation lags behind Europe amid supply chain and investment hurdles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 research from RS Group suggests that the UK’s industrial sector may be at risk of losing competitive ground in Europe due to a perceived lack of urgency around innovation. The report, “Staying competitive: innovation in UK industry,” surveyed 567 senior leaders across manufacturing, energy and utilities, and construction. While 90% of UK respondents acknowledge the importance of innovation, only 62% view it as essential for survival—significantly lower than comparable figures from Italy (80%) and France (84%). This gap in perception raises concerns about the long-term vitality of UK industry within the increasingly competitive European landscape.</w:t>
      </w:r>
      <w:r/>
    </w:p>
    <w:p>
      <w:r/>
      <w:r>
        <w:t>The study highlights a range of factors impeding UK innovation, including systemic and technological barriers alongside economic challenges. A notable 78% of UK leaders reported struggles to align innovation efforts with the pressures of day-to-day operations. Supply chain disruption was identified as a particularly acute issue, affecting 41% of UK respondents, compared to 34% in France and 31% in Italy. These hurdles suggest that external economic shocks have taken a heavier toll on UK firms’ capacity to innovate.</w:t>
      </w:r>
      <w:r/>
    </w:p>
    <w:p>
      <w:r/>
      <w:r>
        <w:t>Investment in technology emerges as a critical response, with 42% of UK decision-makers prioritising industrial IT, alongside targets such as Industrial Internet of Things (39%) and automation and robotics (36%). However, the report stresses that technology investment alone is insufficient without accompanying cultural changes to embed innovation as a core strategic priority rather than a sporadic undertaking. Mike Bray, VP of Innovation at RS, emphasised that while enthusiasm for innovation is strong, long-term success depends on leadership treating it as a non-negotiable element of organisational strategy amidst economic uncertainty and regulatory shifts.</w:t>
      </w:r>
      <w:r/>
    </w:p>
    <w:p>
      <w:r/>
      <w:r>
        <w:t>This cautionary stance in parts of UK industry contrasts somewhat with other indicators of innovation vitality in the country. A recent study by Sopra Steria Next and INSEAD found that the UK leads Europe in corporate collaboration with start-ups, especially in artificial intelligence. Over 80% of British businesses view partnerships with start-ups as crucial to their AI strategies, achieving higher success rates than in other European nations. This dynamic suggests that while traditional industry segments may face challenges, innovation ecosystems around emerging technology fields display notable strengths.</w:t>
      </w:r>
      <w:r/>
    </w:p>
    <w:p>
      <w:r/>
      <w:r>
        <w:t>London also remains a key hub for digital technology investment in Europe, according to EY’s 2025 UK Attractiveness Survey. Despite an overall 37% decline in UK digital technology foreign direct investment projects in 2024, Greater London attracted 96 such projects, the highest in Europe. Notably, India has surpassed the US as the UK's top source of digital technology investment, underscoring a shifting global investment landscape.</w:t>
      </w:r>
      <w:r/>
    </w:p>
    <w:p>
      <w:r/>
      <w:r>
        <w:t>However, broader concerns about investment competitiveness extend beyond industrial technology. The UK's pharmaceutical sector has seen a marked decline in R&amp;D investment and clinical trial activity, according to a Pharmaceutical Competitiveness Framework report. Life sciences foreign direct investment into the UK in 2023 was around 58% lower than in 2017, with the UK dropping from second to seventh place in global competitiveness rankings. This underscores challenges in maintaining the UK’s position in high-tech innovation sectors critical to economic growth.</w:t>
      </w:r>
      <w:r/>
    </w:p>
    <w:p>
      <w:r/>
      <w:r>
        <w:t>The UK’s innovation challenge is further contextualised by government data showing relatively low R&amp;D intensity—2.2% of GDP—compared to 3.6% across Europe and 5.1% in the Americas. While the UK ranks fifth on the Global Innovation Index and boasts world-class intellectual property protections and a strong legacy of scientific achievement, such as hosting over 75 Nobel laureates, experts emphasise the need to intensify efforts. The Department of Trade and Industry highlights that increased R&amp;D and innovation investment are crucial drivers of economic growth in competitive free markets.</w:t>
      </w:r>
      <w:r/>
    </w:p>
    <w:p>
      <w:r/>
      <w:r>
        <w:t>In response to such concerns, European institutions are focusing on boosting competitiveness through innovation. For instance, an upcoming European Research Council event will engage policymakers, industry leaders, and researchers in dialogue about leveraging science and innovation to strengthen economic performance against global challenges. These discussions highlight the role that fundamental research and supportive policies must play in fostering environments where innovation thrives.</w:t>
      </w:r>
      <w:r/>
    </w:p>
    <w:p>
      <w:r/>
      <w:r>
        <w:t>In sum, while UK industry recognises the importance of innovation, the degree to which it is embedded strategically falls short compared to key European competitors. Challenges such as supply chain disruption and alignment with daily operational demands weigh heavily on progress. Yet areas like AI collaboration and digital tech investment in London reveal pockets of dynamism. With mounting evidence of declining competitiveness in sectors like pharmaceuticals and relatively low R&amp;D expenditure, UK industrial leaders and policymakers face pressing questions about how to convert innovation potential into sustained strategic advantage.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(IT Brief)</w:t>
      </w:r>
      <w:r/>
    </w:p>
    <w:p>
      <w:pPr>
        <w:pStyle w:val="ListBullet"/>
        <w:spacing w:line="240" w:lineRule="auto"/>
        <w:ind w:left="720"/>
      </w:pPr>
      <w:r/>
      <w:r>
        <w:t xml:space="preserve">Paragraph 2 – </w:t>
      </w:r>
      <w:hyperlink r:id="rId9">
        <w:r>
          <w:rPr>
            <w:color w:val="0000EE"/>
            <w:u w:val="single"/>
          </w:rPr>
          <w:t>[1]</w:t>
        </w:r>
      </w:hyperlink>
      <w:r>
        <w:t xml:space="preserve"> (IT Brief)</w:t>
      </w:r>
      <w:r/>
    </w:p>
    <w:p>
      <w:pPr>
        <w:pStyle w:val="ListBullet"/>
        <w:spacing w:line="240" w:lineRule="auto"/>
        <w:ind w:left="720"/>
      </w:pPr>
      <w:r/>
      <w:r>
        <w:t xml:space="preserve">Paragraph 3 – </w:t>
      </w:r>
      <w:hyperlink r:id="rId9">
        <w:r>
          <w:rPr>
            <w:color w:val="0000EE"/>
            <w:u w:val="single"/>
          </w:rPr>
          <w:t>[1]</w:t>
        </w:r>
      </w:hyperlink>
      <w:r>
        <w:t xml:space="preserve"> (IT Brief)</w:t>
      </w:r>
      <w:r/>
    </w:p>
    <w:p>
      <w:pPr>
        <w:pStyle w:val="ListBullet"/>
        <w:spacing w:line="240" w:lineRule="auto"/>
        <w:ind w:left="720"/>
      </w:pPr>
      <w:r/>
      <w:r>
        <w:t xml:space="preserve">Paragraph 4 – </w:t>
      </w:r>
      <w:hyperlink r:id="rId9">
        <w:r>
          <w:rPr>
            <w:color w:val="0000EE"/>
            <w:u w:val="single"/>
          </w:rPr>
          <w:t>[1]</w:t>
        </w:r>
      </w:hyperlink>
      <w:r>
        <w:t xml:space="preserve"> (IT Brief)</w:t>
      </w:r>
      <w:r/>
    </w:p>
    <w:p>
      <w:pPr>
        <w:pStyle w:val="ListBullet"/>
        <w:spacing w:line="240" w:lineRule="auto"/>
        <w:ind w:left="720"/>
      </w:pPr>
      <w:r/>
      <w:r>
        <w:t xml:space="preserve">Paragraph 5 – </w:t>
      </w:r>
      <w:hyperlink r:id="rId10">
        <w:r>
          <w:rPr>
            <w:color w:val="0000EE"/>
            <w:u w:val="single"/>
          </w:rPr>
          <w:t>[2]</w:t>
        </w:r>
      </w:hyperlink>
      <w:r>
        <w:t xml:space="preserve"> (Evening Standard)</w:t>
      </w:r>
      <w:r/>
    </w:p>
    <w:p>
      <w:pPr>
        <w:pStyle w:val="ListBullet"/>
        <w:spacing w:line="240" w:lineRule="auto"/>
        <w:ind w:left="720"/>
      </w:pPr>
      <w:r/>
      <w:r>
        <w:t xml:space="preserve">Paragraph 6 – </w:t>
      </w:r>
      <w:hyperlink r:id="rId11">
        <w:r>
          <w:rPr>
            <w:color w:val="0000EE"/>
            <w:u w:val="single"/>
          </w:rPr>
          <w:t>[3]</w:t>
        </w:r>
      </w:hyperlink>
      <w:r>
        <w:t xml:space="preserve"> (EY)</w:t>
      </w:r>
      <w:r/>
    </w:p>
    <w:p>
      <w:pPr>
        <w:pStyle w:val="ListBullet"/>
        <w:spacing w:line="240" w:lineRule="auto"/>
        <w:ind w:left="720"/>
      </w:pPr>
      <w:r/>
      <w:r>
        <w:t xml:space="preserve">Paragraph 7 – </w:t>
      </w:r>
      <w:hyperlink r:id="rId12">
        <w:r>
          <w:rPr>
            <w:color w:val="0000EE"/>
            <w:u w:val="single"/>
          </w:rPr>
          <w:t>[4]</w:t>
        </w:r>
      </w:hyperlink>
      <w:r>
        <w:t xml:space="preserve"> (ABPI)</w:t>
      </w:r>
      <w:r/>
    </w:p>
    <w:p>
      <w:pPr>
        <w:pStyle w:val="ListBullet"/>
        <w:spacing w:line="240" w:lineRule="auto"/>
        <w:ind w:left="720"/>
      </w:pPr>
      <w:r/>
      <w:r>
        <w:t xml:space="preserve">Paragraph 8 – </w:t>
      </w:r>
      <w:hyperlink r:id="rId13">
        <w:r>
          <w:rPr>
            <w:color w:val="0000EE"/>
            <w:u w:val="single"/>
          </w:rPr>
          <w:t>[7]</w:t>
        </w:r>
      </w:hyperlink>
      <w:r>
        <w:t xml:space="preserve"> (CORDIS/DTI), </w:t>
      </w:r>
      <w:hyperlink r:id="rId14">
        <w:r>
          <w:rPr>
            <w:color w:val="0000EE"/>
            <w:u w:val="single"/>
          </w:rPr>
          <w:t>[5]</w:t>
        </w:r>
      </w:hyperlink>
      <w:r>
        <w:t xml:space="preserve"> (Business.gov.uk)</w:t>
      </w:r>
      <w:r/>
    </w:p>
    <w:p>
      <w:pPr>
        <w:pStyle w:val="ListBullet"/>
        <w:spacing w:line="240" w:lineRule="auto"/>
        <w:ind w:left="720"/>
      </w:pPr>
      <w:r/>
      <w:r>
        <w:t xml:space="preserve">Paragraph 9 – </w:t>
      </w:r>
      <w:hyperlink r:id="rId15">
        <w:r>
          <w:rPr>
            <w:color w:val="0000EE"/>
            <w:u w:val="single"/>
          </w:rPr>
          <w:t>[6]</w:t>
        </w:r>
      </w:hyperlink>
      <w:r>
        <w:t xml:space="preserve"> (UKRO)</w:t>
      </w:r>
      <w:r/>
    </w:p>
    <w:p>
      <w:pPr>
        <w:pStyle w:val="ListBullet"/>
        <w:spacing w:line="240" w:lineRule="auto"/>
        <w:ind w:left="720"/>
      </w:pPr>
      <w:r/>
      <w:r>
        <w:t xml:space="preserve">Paragraph 10 – </w:t>
      </w:r>
      <w:hyperlink r:id="rId9">
        <w:r>
          <w:rPr>
            <w:color w:val="0000EE"/>
            <w:u w:val="single"/>
          </w:rPr>
          <w:t>[1]</w:t>
        </w:r>
      </w:hyperlink>
      <w:r>
        <w:t xml:space="preserve"> (IT Brief), </w:t>
      </w:r>
      <w:hyperlink r:id="rId10">
        <w:r>
          <w:rPr>
            <w:color w:val="0000EE"/>
            <w:u w:val="single"/>
          </w:rPr>
          <w:t>[2]</w:t>
        </w:r>
      </w:hyperlink>
      <w:r>
        <w:t xml:space="preserve"> (Evening Standard), </w:t>
      </w:r>
      <w:hyperlink r:id="rId12">
        <w:r>
          <w:rPr>
            <w:color w:val="0000EE"/>
            <w:u w:val="single"/>
          </w:rPr>
          <w:t>[4]</w:t>
        </w:r>
      </w:hyperlink>
      <w:r>
        <w:t xml:space="preserve"> (ABPI)</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https://itbrief.co.uk/story/innovation-gap-threatens-uk-industry-competitiveness-in-europe</w:t>
        </w:r>
      </w:hyperlink>
      <w:r>
        <w:t xml:space="preserve"> - Please view link - unable to able to access data</w:t>
      </w:r>
      <w:r/>
    </w:p>
    <w:p>
      <w:pPr>
        <w:pStyle w:val="ListNumber"/>
        <w:spacing w:line="240" w:lineRule="auto"/>
        <w:ind w:left="720"/>
      </w:pPr>
      <w:r/>
      <w:hyperlink r:id="rId10">
        <w:r>
          <w:rPr>
            <w:color w:val="0000EE"/>
            <w:u w:val="single"/>
          </w:rPr>
          <w:t>https://www.standard.co.uk/news/tech/europe-french-b1224896.html</w:t>
        </w:r>
      </w:hyperlink>
      <w:r>
        <w:t xml:space="preserve"> - A report by Sopra Steria Next and INSEAD reveals that the UK leads Europe in corporate collaboration with start-ups, particularly in artificial intelligence. Over 80% of British businesses view start-ups as crucial to their AI strategies, with corporate start-up partnerships achieving higher success rates in the UK than elsewhere in Europe. The study surveyed 1,643 organisations across 12 European countries, including 181 corporates and 78 start-ups in the UK, highlighting the UK's strong position in fostering innovation through start-up collaborations.</w:t>
      </w:r>
      <w:r/>
    </w:p>
    <w:p>
      <w:pPr>
        <w:pStyle w:val="ListNumber"/>
        <w:spacing w:line="240" w:lineRule="auto"/>
        <w:ind w:left="720"/>
      </w:pPr>
      <w:r/>
      <w:hyperlink r:id="rId11">
        <w:r>
          <w:rPr>
            <w:color w:val="0000EE"/>
            <w:u w:val="single"/>
          </w:rPr>
          <w:t>https://www.ey.com/en_uk/newsroom/2025/06/london-leads-europe-in-tech-foreign-direct-investment</w:t>
        </w:r>
      </w:hyperlink>
      <w:r>
        <w:t xml:space="preserve"> - According to EY's 2025 UK Attractiveness Survey, Greater London maintained its position as the leading European region for digital technology investment in 2024, attracting 96 Foreign Direct Investment (FDI) projects. The UK recorded a total of 161 digital technology projects in 2024, reflecting a 37% decline from the previous year, consistent with the broader European trend. Notably, India overtook the United States as the UK's top source of digital technology investment, contributing 44 projects.</w:t>
      </w:r>
      <w:r/>
    </w:p>
    <w:p>
      <w:pPr>
        <w:pStyle w:val="ListNumber"/>
        <w:spacing w:line="240" w:lineRule="auto"/>
        <w:ind w:left="720"/>
      </w:pPr>
      <w:r/>
      <w:hyperlink r:id="rId12">
        <w:r>
          <w:rPr>
            <w:color w:val="0000EE"/>
            <w:u w:val="single"/>
          </w:rPr>
          <w:t>https://www.abpi.org.uk/media/news/2025/september/uk-tumbles-down-global-rankings-for-pharma-investment-and-research/</w:t>
        </w:r>
      </w:hyperlink>
      <w:r>
        <w:t xml:space="preserve"> - A new Pharmaceutical Competitiveness Framework reveals that the UK is losing the race for investment in R&amp;D, clinical trial delivery, and foreign direct investment, due to increasing drags on competitiveness. The report highlights that since 2018, UK Pharmaceutical R&amp;D investment has underperformed against global trends, with a significant slowdown starting in 2020. Life sciences foreign direct investment into the UK was around 58% lower in 2023 than in 2017, and the UK's ranking among comparator countries fell from 2nd in 2017 to 7th in 2023.</w:t>
      </w:r>
      <w:r/>
    </w:p>
    <w:p>
      <w:pPr>
        <w:pStyle w:val="ListNumber"/>
        <w:spacing w:line="240" w:lineRule="auto"/>
        <w:ind w:left="720"/>
      </w:pPr>
      <w:r/>
      <w:hyperlink r:id="rId14">
        <w:r>
          <w:rPr>
            <w:color w:val="0000EE"/>
            <w:u w:val="single"/>
          </w:rPr>
          <w:t>https://www.business.gov.uk/invest-in-uk/investment/uk-innovation/</w:t>
        </w:r>
      </w:hyperlink>
      <w:r>
        <w:t xml:space="preserve"> - The UK is ranked fifth on the Global Innovation Index 2019 and has over half of all R&amp;D business expenditure come from foreign-owned companies. The country boasts a world-class intellectual property regime to protect innovative ideas and is home to over 75 Nobel Prize winners. The UK is also a natural place of innovation for companies like Ford, Pfizer, and Nokia, and has over 75 Nobel Prize winners – more than any other country besides the USA.</w:t>
      </w:r>
      <w:r/>
    </w:p>
    <w:p>
      <w:pPr>
        <w:pStyle w:val="ListNumber"/>
        <w:spacing w:line="240" w:lineRule="auto"/>
        <w:ind w:left="720"/>
      </w:pPr>
      <w:r/>
      <w:hyperlink r:id="rId15">
        <w:r>
          <w:rPr>
            <w:color w:val="0000EE"/>
            <w:u w:val="single"/>
          </w:rPr>
          <w:t>https://www.ukro.ac.uk/events/research-innovation-for-a-competitive-europe-event/</w:t>
        </w:r>
      </w:hyperlink>
      <w:r>
        <w:t xml:space="preserve"> - The European Research Council (ERC) is organising an event focusing on enhancing Europe's competitiveness through cutting-edge science and innovation. Leading figures from research, industry, and policy-making will engage in a dialogue on strategies to bolster Europe's competitiveness, addressing challenges posed by the evolving global economy. The event will discuss the role of fundamental research in driving economic growth and the policies necessary to create an environment where scientists and innovators can thrive.</w:t>
      </w:r>
      <w:r/>
    </w:p>
    <w:p>
      <w:pPr>
        <w:pStyle w:val="ListNumber"/>
        <w:spacing w:line="240" w:lineRule="auto"/>
        <w:ind w:left="720"/>
      </w:pPr>
      <w:r/>
      <w:hyperlink r:id="rId13">
        <w:r>
          <w:rPr>
            <w:color w:val="0000EE"/>
            <w:u w:val="single"/>
          </w:rPr>
          <w:t>https://cordis.europa.eu/article/id/19098-uk-must-intensify-efforts-to-enhance-innovation-says-report</w:t>
        </w:r>
      </w:hyperlink>
      <w:r>
        <w:t xml:space="preserve"> - A report by the UK's Department of Trade and Industry (DTI) indicates that the UK continues to lag behind its international competitors in terms of technological research and development (R&amp;D) spending and innovation. The report found that R&amp;D intensity in the UK is 2.2%, compared with 5.1% in the Americas and an average of 3.6% in Europe. The DTI emphasizes that innovation is the driver of growth in free market economies and R&amp;D is a key component of innovation.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uk/story/innovation-gap-threatens-uk-industry-competitiveness-in-europe" TargetMode="External"/><Relationship Id="rId10" Type="http://schemas.openxmlformats.org/officeDocument/2006/relationships/hyperlink" Target="https://www.standard.co.uk/news/tech/europe-french-b1224896.html" TargetMode="External"/><Relationship Id="rId11" Type="http://schemas.openxmlformats.org/officeDocument/2006/relationships/hyperlink" Target="https://www.ey.com/en_uk/newsroom/2025/06/london-leads-europe-in-tech-foreign-direct-investment" TargetMode="External"/><Relationship Id="rId12" Type="http://schemas.openxmlformats.org/officeDocument/2006/relationships/hyperlink" Target="https://www.abpi.org.uk/media/news/2025/september/uk-tumbles-down-global-rankings-for-pharma-investment-and-research/" TargetMode="External"/><Relationship Id="rId13" Type="http://schemas.openxmlformats.org/officeDocument/2006/relationships/hyperlink" Target="https://cordis.europa.eu/article/id/19098-uk-must-intensify-efforts-to-enhance-innovation-says-report" TargetMode="External"/><Relationship Id="rId14" Type="http://schemas.openxmlformats.org/officeDocument/2006/relationships/hyperlink" Target="https://www.business.gov.uk/invest-in-uk/investment/uk-innovation/" TargetMode="External"/><Relationship Id="rId15" Type="http://schemas.openxmlformats.org/officeDocument/2006/relationships/hyperlink" Target="https://www.ukro.ac.uk/events/research-innovation-for-a-competitive-europe-ev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