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law enforcement intensifies crackdown on sophisticated crypto crimes, signalling regulatory shift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European Union law enforcement agencies are significantly stepping up their efforts to confront increasingly sophisticated criminal activities exploiting blockchain and cryptocurrency technologies. This expanded commitment comes as EU authorities pledge greater collaboration and increased funding to combat illicit uses of digital assets, amid concerns over rising money laundering, fraud, and other cyber-enabled crimes leveraging blockchain systems. The initiative underscores the EU’s intent to safeguard the cryptocurrency landscape while maintaining market stability, signalling possible short-term volatility but potential long-term gains through enhanced regulatory clarity.</w:t>
      </w:r>
      <w:r/>
    </w:p>
    <w:p>
      <w:r/>
      <w:r>
        <w:t>This heightened focus on blockchain abuse reflects how criminals have continuously refined their methods, incorporating advanced techniques such as mixing services and cross-chain exploits to obfuscate funds and evade detection. Europol, supported by multiple national authorities, has been active in dismantling key infrastructures facilitating criminal activity, such as the takedown of the ChipMixer platform—which handled large-scale money laundering—and the Bitzlato crypto exchange, both implicated in laundering substantial sums of illicit proceeds. These coordinated international operations have frozen millions in crypto assets and disrupted ransomware networks like HIVE, which collectively have inflicted hundreds of millions of euros in damage worldwide. These enforcement outcomes highlight the EU’s commitment to curbing criminal exploitation while reinforcing the importance of continued evolution in investigative tools and strategies.</w:t>
      </w:r>
      <w:r/>
    </w:p>
    <w:p>
      <w:r/>
      <w:r>
        <w:t>Efforts to bolster law enforcement capabilities extend beyond interdictions. The EU, in partnership with bodies like the Council of Europe’s Cybercrime Programme Office (C-PROC) and the European Union Agency for Law Enforcement Training (CEPOL), facilitates specialised training for police, financial intelligence units, customs, and prosecutors across the region. Recent initiatives have focused on deepening expertise in money laundering, criminal financing, and asset recovery involving virtual assets, integrating expert knowledge from Europol, academic institutions, and private sector players. Additionally, private sector collaboration, exemplified by Binance’s partnership with CEPOL in Moldova, aims to empower local law enforcement with cutting-edge blockchain analysis and investigative skills to counter crypto crimes effectively.</w:t>
      </w:r>
      <w:r/>
    </w:p>
    <w:p>
      <w:r/>
      <w:r>
        <w:t>On the regulatory front, the European Commission plans to expand Europol’s mandate and resources by 2026, enabling broader data access and enhanced operational reach to tackle organised crime, terrorism, and hybrid threats more effectively. This legislative evolution is part of a wider strategy including reforms of related agencies like Eurojust, which continues to play a critical role in judicial cooperation around encrypted communications and investigations into criminal networks utilizing encrypted platforms. Enhancing data access for law enforcement while balancing privacy rights remains a central challenge in these reforms, as agencies work to ensure legal admissibility of digital evidence amid growing encryption use by criminal organisations.</w:t>
      </w:r>
      <w:r/>
    </w:p>
    <w:p>
      <w:r/>
      <w:r>
        <w:t>From the perspective of the cryptocurrency market, these regulatory and enforcement developments could trigger short-term price volatility, particularly for privacy-focused cryptocurrencies such as Monero (XMR), which might face intensifying scrutiny. Traders and investors are advised to monitor regulatory updates closely, as past enforcement waves have correlated with spikes in trading volumes and shifts in market sentiment. Historical patterns demonstrate that Bitcoin (BTC) and Ethereum (ETH) have experienced fluctuations around key support levels during regulatory announcements, but typically stabilise after initial reactions, benefiting later from increased institutional interest and market maturity. The new EU measures could stimulate further shifts towards regulated assets and exchanges, driving liquidity and adoption in more compliant sectors of the crypto ecosystem, including decentralized finance (DeFi) tokens.</w:t>
      </w:r>
      <w:r/>
    </w:p>
    <w:p>
      <w:r/>
      <w:r>
        <w:t>Moreover, the intersection of crypto and traditional financial markets presents diversified trading opportunities. Enhanced law enforcement action against illicit crypto activities may indirectly influence equities of fintech and blockchain-related tech companies, enabling strategic hedging and arbitrage positions. AI-driven trading algorithms could increasingly capitalise on sentiment analysis and real-time data from social media and on-chain metrics to respond swiftly to regulatory news, optimizing trading strategies amid the evolving landscape.</w:t>
      </w:r>
      <w:r/>
    </w:p>
    <w:p>
      <w:r/>
      <w:r>
        <w:t>In sum, the EU’s reinforced commitment to combatting blockchain abuse signals a maturing crypto ecosystem increasingly integrated with institutional frameworks and regulatory oversight. While enforcement actions and policy shifts may create initial uncertainty, they contribute to establishing a safer and more transparent environment conducive to sustainable growth. Traders are encouraged to maintain diversified portfolios, leverage verified market data, and adopt agile strategies to navigate the complexities of this transitional phase successfully.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(Blockchain.News)</w:t>
      </w:r>
      <w:r/>
    </w:p>
    <w:p>
      <w:pPr>
        <w:pStyle w:val="ListBullet"/>
        <w:spacing w:line="240" w:lineRule="auto"/>
        <w:ind w:left="720"/>
      </w:pPr>
      <w:r/>
      <w:r>
        <w:t xml:space="preserve">Paragraph 2 – </w:t>
      </w:r>
      <w:hyperlink r:id="rId9">
        <w:r>
          <w:rPr>
            <w:color w:val="0000EE"/>
            <w:u w:val="single"/>
          </w:rPr>
          <w:t>[1]</w:t>
        </w:r>
      </w:hyperlink>
      <w:r>
        <w:t xml:space="preserve"> (Blockchain.News), </w:t>
      </w:r>
      <w:hyperlink r:id="rId10">
        <w:r>
          <w:rPr>
            <w:color w:val="0000EE"/>
            <w:u w:val="single"/>
          </w:rPr>
          <w:t>[4]</w:t>
        </w:r>
      </w:hyperlink>
      <w:r>
        <w:t xml:space="preserve"> (Europol Annual Report)</w:t>
      </w:r>
      <w:r/>
    </w:p>
    <w:p>
      <w:pPr>
        <w:pStyle w:val="ListBullet"/>
        <w:spacing w:line="240" w:lineRule="auto"/>
        <w:ind w:left="720"/>
      </w:pPr>
      <w:r/>
      <w:r>
        <w:t xml:space="preserve">Paragraph 3 – </w:t>
      </w:r>
      <w:hyperlink r:id="rId11">
        <w:r>
          <w:rPr>
            <w:color w:val="0000EE"/>
            <w:u w:val="single"/>
          </w:rPr>
          <w:t>[3]</w:t>
        </w:r>
      </w:hyperlink>
      <w:r>
        <w:t xml:space="preserve"> (Council of Europe Cybercrime Programme), </w:t>
      </w:r>
      <w:hyperlink r:id="rId12">
        <w:r>
          <w:rPr>
            <w:color w:val="0000EE"/>
            <w:u w:val="single"/>
          </w:rPr>
          <w:t>[6]</w:t>
        </w:r>
      </w:hyperlink>
      <w:r>
        <w:t xml:space="preserve"> (CryptoTVPlus), </w:t>
      </w:r>
      <w:hyperlink r:id="rId10">
        <w:r>
          <w:rPr>
            <w:color w:val="0000EE"/>
            <w:u w:val="single"/>
          </w:rPr>
          <w:t>[4]</w:t>
        </w:r>
      </w:hyperlink>
      <w:r>
        <w:t xml:space="preserve"> (Europol Annual Report)</w:t>
      </w:r>
      <w:r/>
    </w:p>
    <w:p>
      <w:pPr>
        <w:pStyle w:val="ListBullet"/>
        <w:spacing w:line="240" w:lineRule="auto"/>
        <w:ind w:left="720"/>
      </w:pPr>
      <w:r/>
      <w:r>
        <w:t xml:space="preserve">Paragraph 4 – </w:t>
      </w:r>
      <w:hyperlink r:id="rId13">
        <w:r>
          <w:rPr>
            <w:color w:val="0000EE"/>
            <w:u w:val="single"/>
          </w:rPr>
          <w:t>[2]</w:t>
        </w:r>
      </w:hyperlink>
      <w:r>
        <w:t xml:space="preserve"> (Reuters), </w:t>
      </w:r>
      <w:hyperlink r:id="rId14">
        <w:r>
          <w:rPr>
            <w:color w:val="0000EE"/>
            <w:u w:val="single"/>
          </w:rPr>
          <w:t>[5]</w:t>
        </w:r>
      </w:hyperlink>
      <w:r>
        <w:t xml:space="preserve"> (Eurojust Annual Report)</w:t>
      </w:r>
      <w:r/>
    </w:p>
    <w:p>
      <w:pPr>
        <w:pStyle w:val="ListBullet"/>
        <w:spacing w:line="240" w:lineRule="auto"/>
        <w:ind w:left="720"/>
      </w:pPr>
      <w:r/>
      <w:r>
        <w:t xml:space="preserve">Paragraph 5 – </w:t>
      </w:r>
      <w:hyperlink r:id="rId9">
        <w:r>
          <w:rPr>
            <w:color w:val="0000EE"/>
            <w:u w:val="single"/>
          </w:rPr>
          <w:t>[1]</w:t>
        </w:r>
      </w:hyperlink>
      <w:r>
        <w:t xml:space="preserve"> (Blockchain.News), </w:t>
      </w:r>
      <w:hyperlink r:id="rId10">
        <w:r>
          <w:rPr>
            <w:color w:val="0000EE"/>
            <w:u w:val="single"/>
          </w:rPr>
          <w:t>[4]</w:t>
        </w:r>
      </w:hyperlink>
      <w:r>
        <w:t xml:space="preserve"> (Europol Annual Report), </w:t>
      </w:r>
      <w:hyperlink r:id="rId14">
        <w:r>
          <w:rPr>
            <w:color w:val="0000EE"/>
            <w:u w:val="single"/>
          </w:rPr>
          <w:t>[5]</w:t>
        </w:r>
      </w:hyperlink>
      <w:r>
        <w:t xml:space="preserve"> (Eurojust Annual Report)</w:t>
      </w:r>
      <w:r/>
    </w:p>
    <w:p>
      <w:pPr>
        <w:pStyle w:val="ListBullet"/>
        <w:spacing w:line="240" w:lineRule="auto"/>
        <w:ind w:left="720"/>
      </w:pPr>
      <w:r/>
      <w:r>
        <w:t xml:space="preserve">Paragraph 6 – </w:t>
      </w:r>
      <w:hyperlink r:id="rId9">
        <w:r>
          <w:rPr>
            <w:color w:val="0000EE"/>
            <w:u w:val="single"/>
          </w:rPr>
          <w:t>[1]</w:t>
        </w:r>
      </w:hyperlink>
      <w:r>
        <w:t xml:space="preserve"> (Blockchain.News), </w:t>
      </w:r>
      <w:hyperlink r:id="rId12">
        <w:r>
          <w:rPr>
            <w:color w:val="0000EE"/>
            <w:u w:val="single"/>
          </w:rPr>
          <w:t>[6]</w:t>
        </w:r>
      </w:hyperlink>
      <w:r>
        <w:t xml:space="preserve"> (CryptoTVPlus)</w:t>
      </w:r>
      <w:r/>
    </w:p>
    <w:p>
      <w:pPr>
        <w:pStyle w:val="ListBullet"/>
        <w:spacing w:line="240" w:lineRule="auto"/>
        <w:ind w:left="720"/>
      </w:pPr>
      <w:r/>
      <w:r>
        <w:t xml:space="preserve">Paragraph 7 – </w:t>
      </w:r>
      <w:hyperlink r:id="rId9">
        <w:r>
          <w:rPr>
            <w:color w:val="0000EE"/>
            <w:u w:val="single"/>
          </w:rPr>
          <w:t>[1]</w:t>
        </w:r>
      </w:hyperlink>
      <w:r>
        <w:t xml:space="preserve"> (Blockchain.News)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https://blockchain.news/flashnews/europol-signals-tougher-crypto-aml-eu-law-enforcement-deepens-cooperation-to-counter-sophisticated-blockchain-abuse</w:t>
        </w:r>
      </w:hyperlink>
      <w:r>
        <w:t xml:space="preserve"> - Please view link - unable to able to access data</w:t>
      </w:r>
      <w:r/>
    </w:p>
    <w:p>
      <w:pPr>
        <w:pStyle w:val="ListNumber"/>
        <w:spacing w:line="240" w:lineRule="auto"/>
        <w:ind w:left="720"/>
      </w:pPr>
      <w:r/>
      <w:hyperlink r:id="rId13">
        <w:r>
          <w:rPr>
            <w:color w:val="0000EE"/>
            <w:u w:val="single"/>
          </w:rPr>
          <w:t>https://www.reuters.com/world/europe/eu-commission-propose-expanding-role-pan-european-police-agency-europol-2025-04-01/</w:t>
        </w:r>
      </w:hyperlink>
      <w:r>
        <w:t xml:space="preserve"> - The European Commission announced plans to expand Europol's role, improve law enforcement's access to data, and enhance internal security amid rising geopolitical and digital threats. This strategy aims to combat organised crime and terrorism more effectively by giving Europol more resources and a broader mandate, including addressing hybrid threats and sabotage. A legislative proposal to transform Europol is expected in 2026. The Commission also proposes strengthening Frontex and reforming Eurojust, while encouraging member states to secure critical infrastructures. These efforts emphasise security as a top priority while balancing privacy concerns with data access for law enforcement agencies.</w:t>
      </w:r>
      <w:r/>
    </w:p>
    <w:p>
      <w:pPr>
        <w:pStyle w:val="ListNumber"/>
        <w:spacing w:line="240" w:lineRule="auto"/>
        <w:ind w:left="720"/>
      </w:pPr>
      <w:r/>
      <w:hyperlink r:id="rId11">
        <w:r>
          <w:rPr>
            <w:color w:val="0000EE"/>
            <w:u w:val="single"/>
          </w:rPr>
          <w:t>https://www.coe.int/en/web/cybercrime/-/cybersee-in-cooperation-with-cepol-strengthen-regional-law-enforcement-capabilities-on-illegal-use-of-virtual-assets-and-asset-recovery</w:t>
        </w:r>
      </w:hyperlink>
      <w:r>
        <w:t xml:space="preserve"> - The Council of Europe’s Cybercrime Programme Office (C-PROC), through its CyberSEE joint project of the European Union and the Council of Europe, in cooperation with the European Union Agency for Law Enforcement Training (CEPOL), co-organised a Regional Training on Money Laundering, Criminal Financing and Asset Recovery: New Tools and Technologies, from 7–11 July 2025, in Bucharest, Romania. Bringing together nearly 40 participants from police, financial intelligence units, customs, and prosecution offices from across the Western Balkans, the activity contributed to strengthening the operational capacities in investigating and prosecuting criminal use of virtual assets. Experts from EUROPOL, TRM Labs, European Investment Bank, Romanian Asset Recovery Office and academia contributed to the delivery of key topics and engaged in discussions on the practical aspects.</w:t>
      </w:r>
      <w:r/>
    </w:p>
    <w:p>
      <w:pPr>
        <w:pStyle w:val="ListNumber"/>
        <w:spacing w:line="240" w:lineRule="auto"/>
        <w:ind w:left="720"/>
      </w:pPr>
      <w:r/>
      <w:hyperlink r:id="rId10">
        <w:r>
          <w:rPr>
            <w:color w:val="0000EE"/>
            <w:u w:val="single"/>
          </w:rPr>
          <w:t>https://www.eerstekamer.nl/bijlage/20241106/europol_consolidated_annual/document3/f%3D/vmi4mx9vpoyj.pdf</w:t>
        </w:r>
      </w:hyperlink>
      <w:r>
        <w:t xml:space="preserve"> - Europol supported an operation led by German and US authorities, with the participation of Belgium, Poland and Switzerland, targeting ChipMixer, a cryptocurrency mixer well-known in the cybercriminal underworld. On 15 March, national authorities took down the infrastructure of the platform for its alleged involvement in money laundering activities and seized four servers, about 1,909 Bitcoins in 55 transactions (approx. EUR 44.2M) and 7 TB of data. An operation led by French and US authorities, and supported by Europol, targeted the crypto exchange platform Bitzlato, a globally operating Hong Kong-registered cryptocurrency exchange, suspected of facilitating the laundering of large amounts of criminal proceeds and converting them into roubles. The operation, which also involved law enforcement and judicial authorities from Belgium, Cyprus, Portugal, Spain and the Netherlands, resulted so far in five arrests, the takedown of the digital infrastructure of the service and seizures of crypto wallets worth about EUR 18 M; in addition, 100+ accounts at other crypto exchanges, representing a total of EUR 50M, were frozen. Europol supported the German, Dutch and US authorities in taking down the infrastructure of the prolific HIVE ransomware. Since June 2021, over 1,500 companies from over 80 countries worldwide have fallen victim to HIVE associates and lost almost EUR 100M in ransom payments. During the operation, which involved authorities from 13 countries, law enforcement identified the decryption keys and shared them with many of the victims, helping them regain access to their data without paying the cybercriminals. This effort prevented the payment of more than EUR 120M of ransom payments. During an action day on 4 April, Genesis Market, one of the most dangerous marketplaces selling stolen account credentials to hackers worldwide, was shut down.</w:t>
      </w:r>
      <w:r/>
    </w:p>
    <w:p>
      <w:pPr>
        <w:pStyle w:val="ListNumber"/>
        <w:spacing w:line="240" w:lineRule="auto"/>
        <w:ind w:left="720"/>
      </w:pPr>
      <w:r/>
      <w:hyperlink r:id="rId14">
        <w:r>
          <w:rPr>
            <w:color w:val="0000EE"/>
            <w:u w:val="single"/>
          </w:rPr>
          <w:t>https://www.eurojust.europa.eu/annual-report-2023/cybercrime</w:t>
        </w:r>
      </w:hyperlink>
      <w:r>
        <w:t xml:space="preserve"> - Encryption is used by criminal organisations to evade investigation and prosecution. Judicial and law enforcement authorities often depend on access to encrypted digital data to carry out their investigative work. It is therefore crucial that digital data is gathered in a legal way so it can be admitted as evidence in court. Eurojust follows operational and strategic developments in this area by gathering and analysing relevant case-law for judicial authorities. In 2023, the Agency continued to provide Member States with crucial assistance in cases related to encrypted communication platforms. Since Eurojust’s support to the investigations related to the EncroChat communication platform in 2020 and the Sky ECC communication platform in 2021, the Agency has dealt with thousands of ‘spin-off’ cases related to drugs and organised crime, involving 30 countries. Since April 2021, Eurojust’s French Desk has processed around 2 700 requests for mutual legal assistance (MLA) and European Investigation Orders in ‘spin-off’ cases related to the decryption of Sky ECC communications. Moreover, in February 2023, judicial and law enforcement authorities in the Netherlands and Germany, supported by Eurojust, dismantled the Exclu encrypted communication tool, which had an estimated 3 000 users, including members of organised crime groups. During 2023, Eurojust contributed to two expert meetings of the High-Level Group on access to data for effective law enforcement, launched by the European Commission in June 2023. The Group’s mission is to propose recommendations for the further development of Union policies to enhance and improve access to data for the purpose of effective law enforcement.</w:t>
      </w:r>
      <w:r/>
    </w:p>
    <w:p>
      <w:pPr>
        <w:pStyle w:val="ListNumber"/>
        <w:spacing w:line="240" w:lineRule="auto"/>
        <w:ind w:left="720"/>
      </w:pPr>
      <w:r/>
      <w:hyperlink r:id="rId12">
        <w:r>
          <w:rPr>
            <w:color w:val="0000EE"/>
            <w:u w:val="single"/>
          </w:rPr>
          <w:t>https://cryptotvplus.com/2025/03/ai-and-crypto-are-fueling-surge-in-criminal-efficiency-europol-warns/</w:t>
        </w:r>
      </w:hyperlink>
      <w:r>
        <w:t xml:space="preserve"> - The partnership aims to provide professional training sessions within Moldova as included in the EU4Security endeavor. The popular crypto exchange took to social media to reveal this development. Binance teams up with CEPOL in Moldova to empower local law enforcement with cutting-edge skills in blockchain analysis and crypto-related investigations. Dive into how we’re shaping the future of digital securityImage: 👉 https://t.co/vTAwrj84F1 pic.twitter.com/DBgmt0AaWo — Binance (@binance) May 23, 2025</w:t>
      </w:r>
      <w:r/>
      <w:r/>
    </w:p>
    <w:p>
      <w:r/>
      <w:r>
        <w:t>Binance Engages with Training Sessions on Crypto Crime Investigation in Moldova The collaboration with CEPOL was driven by a couple of notable training sessions that were conducted in March as well as May. The earliest in-person session took place in March in Chișinău, bringing together twenty-five officials from diverse investigation units in Moldova. Being the only platform representing the crypto market, Binance reportedly led a thorough session dealing with open-source intelligence (OSINT) as well as investigations into crypto crimes.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hain.news/flashnews/europol-signals-tougher-crypto-aml-eu-law-enforcement-deepens-cooperation-to-counter-sophisticated-blockchain-abuse" TargetMode="External"/><Relationship Id="rId10" Type="http://schemas.openxmlformats.org/officeDocument/2006/relationships/hyperlink" Target="https://www.eerstekamer.nl/bijlage/20241106/europol_consolidated_annual/document3/f%3D/vmi4mx9vpoyj.pdf" TargetMode="External"/><Relationship Id="rId11" Type="http://schemas.openxmlformats.org/officeDocument/2006/relationships/hyperlink" Target="https://www.coe.int/en/web/cybercrime/-/cybersee-in-cooperation-with-cepol-strengthen-regional-law-enforcement-capabilities-on-illegal-use-of-virtual-assets-and-asset-recovery" TargetMode="External"/><Relationship Id="rId12" Type="http://schemas.openxmlformats.org/officeDocument/2006/relationships/hyperlink" Target="https://cryptotvplus.com/2025/03/ai-and-crypto-are-fueling-surge-in-criminal-efficiency-europol-warns/" TargetMode="External"/><Relationship Id="rId13" Type="http://schemas.openxmlformats.org/officeDocument/2006/relationships/hyperlink" Target="https://www.reuters.com/world/europe/eu-commission-propose-expanding-role-pan-european-police-agency-europol-2025-04-01/" TargetMode="External"/><Relationship Id="rId14" Type="http://schemas.openxmlformats.org/officeDocument/2006/relationships/hyperlink" Target="https://www.eurojust.europa.eu/annual-report-2023/cybercrim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