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economic growth set to slow amid fiscal tightening and trade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Tax hikes, tariffs, and high interest rates are set to slow the UK’s economic growth significantly in the coming year, according to a recent report from the economic forecasting group EY ITEM Club. While the group has upgraded its GDP growth forecast for 2025, anticipating a 1.5% increase compared to an earlier 1% estimate, it warns of a sharp slowdown to just 0.9% growth in 2026. This cautious outlook reflects a combination of tighter fiscal policy, global trade disruptions, and consumer spending pressures.</w:t>
      </w:r>
      <w:r/>
    </w:p>
    <w:p>
      <w:r/>
      <w:r>
        <w:t>EY ITEM Club’s autumn projection arrives ahead of the Bank of England’s interest rate decision this week, with speculation mounting around a potential rate cut. However, the group’s experts expect rates to remain on hold this year, with only two modest cuts next year, bringing the Bank’s rate down to 3.5%. The ongoing high interest rates, combined with anticipated tax increases in Chancellor Rachel Reeves’ upcoming Budget, pose constraints on economic momentum.</w:t>
      </w:r>
      <w:r/>
    </w:p>
    <w:p>
      <w:r/>
      <w:r>
        <w:t>The Chancellor’s second Budget, expected in November, is predicted to introduce further tax increases and spending cuts amounting to around £30 billion. These measures are likely to weigh heavily not only on households but also on businesses. Last year's measures included a significant £25 billion increase in employer National Insurance contributions, which has had a dampening effect on employment, wages, and prices across the economy. Alongside this, recent reforms to business rates threaten larger retail outlets, while a rise in the minimum wage is adding to operational costs for firms. The Government’s flagship workers’ rights bill may also increase regulatory burdens.</w:t>
      </w:r>
      <w:r/>
    </w:p>
    <w:p>
      <w:r/>
      <w:r>
        <w:t>Recent data from the Institute of Directors highlights business confidence hovering near record lows, with many leaders bracing for further challenges from the upcoming Budget. The looming threat of income tax increases—potentially breaching Labour's manifesto promises—adds to concerns over consumer spending power and overall economic vitality.</w:t>
      </w:r>
      <w:r/>
    </w:p>
    <w:p>
      <w:r/>
      <w:r>
        <w:t>The Chancellor’s tax measures already enacted this year offer a glimpse of the fiscal tightening in play. Capital Gains Tax rates were raised substantially in the 2024 Autumn Budget, increasing the lower rate from 10% to 18% and the higher from 20% to 24%. Employers’ National Insurance contributions also rose to 15% on earnings above £5,000, with the threshold lowered from £9,100 to £5,000. Additionally, the surcharge on additional homes under Stamp Duty Land Tax jumped from 3% to 5%, and Inheritance Tax thresholds were frozen until at least 2030.</w:t>
      </w:r>
      <w:r/>
    </w:p>
    <w:p>
      <w:r/>
      <w:r>
        <w:t>Despite these increased rates, actual revenue from Capital Gains Tax has paradoxically fallen, as HMRC figures show a significant drop in receipts from nearly £17 billion in 2022/23 to around £13.1 billion in 2024/25. Experts attribute this decline to behavioural changes by taxpayers in response to higher tax rates, which has ultimately reduced overall tax revenues.</w:t>
      </w:r>
      <w:r/>
    </w:p>
    <w:p>
      <w:r/>
      <w:r>
        <w:t>Amid these fiscal pressures, UK mortgage lending is projected to double over 2025, driven by stronger consumer sentiment and a resurgence in the housing market, according to earlier forecasts from EY ITEM Club. This trend, along with easing inflationary pressures allowing insurers to reduce premium increases, provides a rare positive note in an otherwise cautious economic environment. However, these factors are not expected to counterbalance the adverse impact of tax hikes, global trade tensions, and high borrowing costs.</w:t>
      </w:r>
      <w:r/>
    </w:p>
    <w:p>
      <w:r/>
      <w:r>
        <w:t>The political and fiscal landscape remains fraught, with the Resolution Foundation recently highlighting a £4.4 billion shortfall in the Chancellor's adherence to fiscal rules, further complicating the Budget outlook. The think tank recommended prioritising tax rises over welfare cuts given the deteriorating growth projections and rising borrowing costs.</w:t>
      </w:r>
      <w:r/>
    </w:p>
    <w:p>
      <w:r/>
      <w:r>
        <w:t>In sum, while the UK economy shows resilient pockets such as mortgage lending growth and easing insurance premiums, the overall outlook is dominated by the drag from rising taxes, interest rates, and international trade frictions. Businesses remain deeply concerned about the cumulative burden of government policies, warning that continued fiscal tightening could suppress growth and confidence even further in 2026.</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[5]</w:t>
        </w:r>
      </w:hyperlink>
      <w:r>
        <w:t xml:space="preserve"> (Reuters) </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1">
        <w:r>
          <w:rPr>
            <w:color w:val="0000EE"/>
            <w:u w:val="single"/>
          </w:rPr>
          <w:t>[2]</w:t>
        </w:r>
      </w:hyperlink>
      <w:r>
        <w:t xml:space="preserve"> (EY) </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2">
        <w:r>
          <w:rPr>
            <w:color w:val="0000EE"/>
            <w:u w:val="single"/>
          </w:rPr>
          <w:t>[3]</w:t>
        </w:r>
      </w:hyperlink>
      <w:r>
        <w:t xml:space="preserve"> (Pie Tax), </w:t>
      </w:r>
      <w:hyperlink r:id="rId13">
        <w:r>
          <w:rPr>
            <w:color w:val="0000EE"/>
            <w:u w:val="single"/>
          </w:rPr>
          <w:t>[7]</w:t>
        </w:r>
      </w:hyperlink>
      <w:r>
        <w:t xml:space="preserve"> (Reuters) </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4">
        <w:r>
          <w:rPr>
            <w:color w:val="0000EE"/>
            <w:u w:val="single"/>
          </w:rPr>
          <w:t>[4]</w:t>
        </w:r>
      </w:hyperlink>
      <w:r>
        <w:t xml:space="preserve"> (CNBC), </w:t>
      </w:r>
      <w:hyperlink r:id="rId12">
        <w:r>
          <w:rPr>
            <w:color w:val="0000EE"/>
            <w:u w:val="single"/>
          </w:rPr>
          <w:t>[3]</w:t>
        </w:r>
      </w:hyperlink>
      <w:r>
        <w:t xml:space="preserve"> (Pie Tax) </w:t>
      </w:r>
      <w:r/>
    </w:p>
    <w:p>
      <w:pPr>
        <w:pStyle w:val="ListBullet"/>
        <w:spacing w:line="240" w:lineRule="auto"/>
        <w:ind w:left="720"/>
      </w:pPr>
      <w:r/>
      <w:r>
        <w:t xml:space="preserve">Paragraph 5 – </w:t>
      </w:r>
      <w:hyperlink r:id="rId15">
        <w:r>
          <w:rPr>
            <w:color w:val="0000EE"/>
            <w:u w:val="single"/>
          </w:rPr>
          <w:t>[6]</w:t>
        </w:r>
      </w:hyperlink>
      <w:r>
        <w:t xml:space="preserve"> (MoneyWeek), </w:t>
      </w:r>
      <w:hyperlink r:id="rId12">
        <w:r>
          <w:rPr>
            <w:color w:val="0000EE"/>
            <w:u w:val="single"/>
          </w:rPr>
          <w:t>[3]</w:t>
        </w:r>
      </w:hyperlink>
      <w:r>
        <w:t xml:space="preserve"> (Pie Tax) </w:t>
      </w:r>
      <w:r/>
    </w:p>
    <w:p>
      <w:pPr>
        <w:pStyle w:val="ListBullet"/>
        <w:spacing w:line="240" w:lineRule="auto"/>
        <w:ind w:left="720"/>
      </w:pPr>
      <w:r/>
      <w:r>
        <w:t xml:space="preserve">Paragraph 6 – </w:t>
      </w:r>
      <w:hyperlink r:id="rId11">
        <w:r>
          <w:rPr>
            <w:color w:val="0000EE"/>
            <w:u w:val="single"/>
          </w:rPr>
          <w:t>[2]</w:t>
        </w:r>
      </w:hyperlink>
      <w:r>
        <w:t xml:space="preserve"> (EY) </w:t>
      </w:r>
      <w:r/>
    </w:p>
    <w:p>
      <w:pPr>
        <w:pStyle w:val="ListBullet"/>
        <w:spacing w:line="240" w:lineRule="auto"/>
        <w:ind w:left="720"/>
      </w:pPr>
      <w:r/>
      <w:r>
        <w:t xml:space="preserve">Paragraph 7 – </w:t>
      </w:r>
      <w:hyperlink r:id="rId10">
        <w:r>
          <w:rPr>
            <w:color w:val="0000EE"/>
            <w:u w:val="single"/>
          </w:rPr>
          <w:t>[5]</w:t>
        </w:r>
      </w:hyperlink>
      <w:r>
        <w:t xml:space="preserve"> (Reuters), </w:t>
      </w:r>
      <w:hyperlink r:id="rId9">
        <w:r>
          <w:rPr>
            <w:color w:val="0000EE"/>
            <w:u w:val="single"/>
          </w:rPr>
          <w:t>[1]</w:t>
        </w:r>
      </w:hyperlink>
      <w:r>
        <w:t xml:space="preserve"> (Daily Mail)</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https://www.dailymail.co.uk/money/markets/article-15251083/Budget-tax-hikes-Chancellor-slam-brakes-growth.html?ns_mchannel=rss&amp;ns_campaign=1490&amp;ito=1490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https://www.ey.com/en_uk/newsroom/2025/02/growth-in-uk-mortgage-lending-to-double-over-2025</w:t>
        </w:r>
      </w:hyperlink>
      <w:r>
        <w:t xml:space="preserve"> - In February 2025, EY ITEM Club projected that UK mortgage lending would double over the year, driven by strengthened consumer sentiment boosting the housing market and the purchase of big-ticket items. The report also noted that inflationary shocks had eased, allowing firms to lower premium increases. As a result, premium income for general insurers was expected to return to more 'normal' levels of growth in the coming years, with forecasts of 5.2% in 2025, 4.3% in 2026, and 3.6% in 2027.</w:t>
      </w:r>
      <w:r/>
    </w:p>
    <w:p>
      <w:pPr>
        <w:pStyle w:val="ListNumber"/>
        <w:spacing w:line="240" w:lineRule="auto"/>
        <w:ind w:left="720"/>
      </w:pPr>
      <w:r/>
      <w:hyperlink r:id="rId12">
        <w:r>
          <w:rPr>
            <w:color w:val="0000EE"/>
            <w:u w:val="single"/>
          </w:rPr>
          <w:t>https://www.pie.tax/tax-pible/rachel-reeves-autumn-budget-tax-changes</w:t>
        </w:r>
      </w:hyperlink>
      <w:r>
        <w:t xml:space="preserve"> - In the Autumn Budget presented by Chancellor Rachel Reeves, several significant tax changes were announced. Employer National Insurance contributions were set to rise by 1.2 percentage points to 15%, with the threshold for payments reduced from £9,100 to £5,000. Capital Gains Tax rates increased from 10% and 20% to 18% and 24%, respectively. Additionally, the surcharge on additional homes under Stamp Duty Land Tax rose from 3% to 5%, and Inheritance Tax reforms were introduced, including freezing the nil-rate band at £325,000 until at least April 2030.</w:t>
      </w:r>
      <w:r/>
    </w:p>
    <w:p>
      <w:pPr>
        <w:pStyle w:val="ListNumber"/>
        <w:spacing w:line="240" w:lineRule="auto"/>
        <w:ind w:left="720"/>
      </w:pPr>
      <w:r/>
      <w:hyperlink r:id="rId14">
        <w:r>
          <w:rPr>
            <w:color w:val="0000EE"/>
            <w:u w:val="single"/>
          </w:rPr>
          <w:t>https://www.cnbc.com/2024/10/30/uk-budget-labour-rachel-reeves-october-2024.html</w:t>
        </w:r>
      </w:hyperlink>
      <w:r>
        <w:t xml:space="preserve"> - In October 2024, Chancellor Rachel Reeves unveiled the UK's budget, which included several key measures. Capital Gains Tax rates were set to rise, with the lower rate increasing from 10% to 18% and the higher rate from 20% to 24%. Fuel duty was frozen for another year, maintaining a temporary 5 pence per litre cut. Employers' National Insurance contributions were also set to increase to 15% on salaries above £5,000. The Office for Budget Responsibility projected GDP growth of 1.1% for 2024 and 2% for 2025.</w:t>
      </w:r>
      <w:r/>
    </w:p>
    <w:p>
      <w:pPr>
        <w:pStyle w:val="ListNumber"/>
        <w:spacing w:line="240" w:lineRule="auto"/>
        <w:ind w:left="720"/>
      </w:pPr>
      <w:r/>
      <w:hyperlink r:id="rId10">
        <w:r>
          <w:rPr>
            <w:color w:val="0000EE"/>
            <w:u w:val="single"/>
          </w:rPr>
          <w:t>https://www.reuters.com/world/uk/uk-think-tank-says-reeves-44-bln-pounds-red-fiscal-rules-2025-03-17/</w:t>
        </w:r>
      </w:hyperlink>
      <w:r>
        <w:t xml:space="preserve"> - In March 2025, the Resolution Foundation, a UK think tank, reported that Chancellor Rachel Reeves faced a £4.4 billion deficit against her fiscal rules. The think tank advised against steep welfare cuts in her upcoming budget update, suggesting tax hikes instead. Declining economic forecasts and rising borrowing costs contributed to the deficit, with the Office for Budget Responsibility likely to significantly lower its growth forecast for 2025.</w:t>
      </w:r>
      <w:r/>
    </w:p>
    <w:p>
      <w:pPr>
        <w:pStyle w:val="ListNumber"/>
        <w:spacing w:line="240" w:lineRule="auto"/>
        <w:ind w:left="720"/>
      </w:pPr>
      <w:r/>
      <w:hyperlink r:id="rId15">
        <w:r>
          <w:rPr>
            <w:color w:val="0000EE"/>
            <w:u w:val="single"/>
          </w:rPr>
          <w:t>https://moneyweek.com/personal-finance/tax/capital-gains-tax-receipts-changes-backfire</w:t>
        </w:r>
      </w:hyperlink>
      <w:r>
        <w:t xml:space="preserve"> - Despite increases in Capital Gains Tax (CGT) rates introduced by Chancellor Rachel Reeves in the 2024 Autumn Budget, CGT revenues fell significantly. HMRC figures showed CGT receipts dropped from nearly £17 billion in 2022/23 to £13.1 billion in 2024/25. Experts argue that the changes prompted behavioural shifts among taxpayers, leading to reduced tax revenues.</w:t>
      </w:r>
      <w:r/>
    </w:p>
    <w:p>
      <w:pPr>
        <w:pStyle w:val="ListNumber"/>
        <w:spacing w:line="240" w:lineRule="auto"/>
        <w:ind w:left="720"/>
      </w:pPr>
      <w:r/>
      <w:hyperlink r:id="rId13">
        <w:r>
          <w:rPr>
            <w:color w:val="0000EE"/>
            <w:u w:val="single"/>
          </w:rPr>
          <w:t>https://www.reuters.com/world/uk/key-measures-uk-labour-partys-first-budget-nearly-15-years-2024-10-30/</w:t>
        </w:r>
      </w:hyperlink>
      <w:r>
        <w:t xml:space="preserve"> - In October 2024, Chancellor Rachel Reeves presented the UK's first Labour budget in nearly 15 years. Major measures included the introduction of new fiscal rules to balance the current budget by 2029/30 and increase borrowing for investment, generating a fiscal headroom of £15.7 billion by 2029/30. Key tax changes focused on businesses and the wealthy, with business social security contributions increasing by 1.2 percentage points to 15%, and inheritance taxes expanded to include inherited pensions.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51083/Budget-tax-hikes-Chancellor-slam-brakes-growth.html?ns_mchannel=rss&amp;ns_campaign=1490&amp;ito=1490" TargetMode="External"/><Relationship Id="rId10" Type="http://schemas.openxmlformats.org/officeDocument/2006/relationships/hyperlink" Target="https://www.reuters.com/world/uk/uk-think-tank-says-reeves-44-bln-pounds-red-fiscal-rules-2025-03-17/" TargetMode="External"/><Relationship Id="rId11" Type="http://schemas.openxmlformats.org/officeDocument/2006/relationships/hyperlink" Target="https://www.ey.com/en_uk/newsroom/2025/02/growth-in-uk-mortgage-lending-to-double-over-2025" TargetMode="External"/><Relationship Id="rId12" Type="http://schemas.openxmlformats.org/officeDocument/2006/relationships/hyperlink" Target="https://www.pie.tax/tax-pible/rachel-reeves-autumn-budget-tax-changes" TargetMode="External"/><Relationship Id="rId13" Type="http://schemas.openxmlformats.org/officeDocument/2006/relationships/hyperlink" Target="https://www.reuters.com/world/uk/key-measures-uk-labour-partys-first-budget-nearly-15-years-2024-10-30/" TargetMode="External"/><Relationship Id="rId14" Type="http://schemas.openxmlformats.org/officeDocument/2006/relationships/hyperlink" Target="https://www.cnbc.com/2024/10/30/uk-budget-labour-rachel-reeves-october-2024.html" TargetMode="External"/><Relationship Id="rId15" Type="http://schemas.openxmlformats.org/officeDocument/2006/relationships/hyperlink" Target="https://moneyweek.com/personal-finance/tax/capital-gains-tax-receipts-changes-backfi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