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real estate irregularities prompt calls for urgent reforms amid national transparency crackdown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local real estate market is currently under intense scrutiny following revelations of widespread irregularities that may significantly affect both buyers and sellers. An investigation led by the Real Estate Transparency Initiative uncovered troubling discrepancies in property valuations and commission structures across numerous transactions. Key documents—including sales contracts, commission statements, and internal communications from various agencies—reveal a pattern of undervaluation in over 30% of property sales in the last two years. This has left many homeowners feeling pressured into accepting offers below market value, according to interviews with more than 50 affected individuals.</w:t>
      </w:r>
      <w:r/>
    </w:p>
    <w:p>
      <w:r/>
      <w:r>
        <w:t>Among the primary figures implicated is John Doe, a prominent real estate agent with multiple complaints alleging unethical practices. Likewise, XYZ Realty, a major local agency, is facing scrutiny for commission policies perceived to favour sellers at buyers' expense. If these allegations are confirmed, they could prompt substantial reforms in local real estate regulations and potentially erode public trust in the housing market, which may further depress property values and deter buyers.</w:t>
      </w:r>
      <w:r/>
    </w:p>
    <w:p>
      <w:r/>
      <w:r>
        <w:t>These local developments occur against a backdrop of nationwide efforts to enhance transparency and combat corruption in the real estate sector. Since early 2024, the U.S. Department of the Treasury’s Financial Crimes Enforcement Network (FinCEN) has introduced a series of regulations targeting money laundering and illicit activity linked to real estate. One notable measure requires real estate professionals to report all-cash sales involving legal entities, trusts, or shell companies, aiming to prevent the real estate market’s misuse for laundering crime proceeds—a practice linked to inflated housing prices. This rule will come into effect from December 1, 2025, with compliance deadlines for associated beneficial ownership reporting set for the end of 2024. These measures are part of a broader Corporate Transparency Act initiative, shifting accountability onto real estate professionals to ensure compliance.</w:t>
      </w:r>
      <w:r/>
    </w:p>
    <w:p>
      <w:r/>
      <w:r>
        <w:t>Meanwhile, attempts to enhance commission transparency have seen mixed results. In March 2024, the National Association of Realtors reached a $418 million settlement intended to reduce commission costs and increase transparency for consumers. Yet, evidence from early 2025 shows that average commission rates remain stubbornly high, influenced by entrenched industry practices and consumer unfamiliarity with new regulations. Experts advise that buyers and sellers should proactively engage trusted agents and carefully review fee agreements to avoid excessive costs.</w:t>
      </w:r>
      <w:r/>
    </w:p>
    <w:p>
      <w:r/>
      <w:r>
        <w:t>The local investigation is ongoing, with authorities aiming to collect further documentation and conduct more interviews. The local housing authority has been approached for comment and is assessing whether regulatory action will be necessary. The case highlights how transparency shortfalls and opaque practices at the local level mirror wider national concerns about the vulnerability of real estate markets to unethical conduct and money laundering. Industry watchers note that without stringent oversight and effective enforcement, such irregularities risk undermining market stability and public confidence.</w:t>
      </w:r>
      <w:r/>
    </w:p>
    <w:p>
      <w:r/>
      <w:r>
        <w:t>Given the evolving regulatory landscape and the spotlight on market transparency, local real estate stakeholders may soon face heightened scrutiny and a need to adapt practices. As the investigation progresses, its findings could serve as a catalyst for broader reforms not only in the local market but potentially influencing national policy discussions about fairness, transparency, and corruption prevention in real estate.</w:t>
      </w:r>
      <w:r/>
    </w:p>
    <w:p>
      <w:pPr>
        <w:pStyle w:val="Heading3"/>
      </w:pPr>
      <w:r>
        <w:t>📌 Reference Map:</w:t>
      </w:r>
      <w:r/>
      <w:r/>
    </w:p>
    <w:p>
      <w:pPr>
        <w:pStyle w:val="ListBullet"/>
        <w:spacing w:line="240" w:lineRule="auto"/>
        <w:ind w:left="720"/>
      </w:pPr>
      <w:r/>
      <w:hyperlink r:id="rId9">
        <w:r>
          <w:rPr>
            <w:color w:val="0000EE"/>
            <w:u w:val="single"/>
          </w:rPr>
          <w:t>[1]</w:t>
        </w:r>
      </w:hyperlink>
      <w:r>
        <w:t xml:space="preserve"> (Newshub) - Paragraphs 1, 2, 3, 6, 7 </w:t>
      </w:r>
      <w:r/>
    </w:p>
    <w:p>
      <w:pPr>
        <w:pStyle w:val="ListBullet"/>
        <w:spacing w:line="240" w:lineRule="auto"/>
        <w:ind w:left="720"/>
      </w:pPr>
      <w:r/>
      <w:hyperlink r:id="rId10">
        <w:r>
          <w:rPr>
            <w:color w:val="0000EE"/>
            <w:u w:val="single"/>
          </w:rPr>
          <w:t>[2]</w:t>
        </w:r>
      </w:hyperlink>
      <w:r>
        <w:t xml:space="preserve"> (AP News) - Paragraphs 4, 5 </w:t>
      </w:r>
      <w:r/>
    </w:p>
    <w:p>
      <w:pPr>
        <w:pStyle w:val="ListBullet"/>
        <w:spacing w:line="240" w:lineRule="auto"/>
        <w:ind w:left="720"/>
      </w:pPr>
      <w:r/>
      <w:hyperlink r:id="rId11">
        <w:r>
          <w:rPr>
            <w:color w:val="0000EE"/>
            <w:u w:val="single"/>
          </w:rPr>
          <w:t>[3]</w:t>
        </w:r>
      </w:hyperlink>
      <w:r>
        <w:t xml:space="preserve"> (Reuters) - Paragraph 4 </w:t>
      </w:r>
      <w:r/>
    </w:p>
    <w:p>
      <w:pPr>
        <w:pStyle w:val="ListBullet"/>
        <w:spacing w:line="240" w:lineRule="auto"/>
        <w:ind w:left="720"/>
      </w:pPr>
      <w:r/>
      <w:hyperlink r:id="rId12">
        <w:r>
          <w:rPr>
            <w:color w:val="0000EE"/>
            <w:u w:val="single"/>
          </w:rPr>
          <w:t>[4]</w:t>
        </w:r>
      </w:hyperlink>
      <w:r>
        <w:t xml:space="preserve"> (Kiplinger) - Paragraph 5 </w:t>
      </w:r>
      <w:r/>
    </w:p>
    <w:p>
      <w:pPr>
        <w:pStyle w:val="ListBullet"/>
        <w:spacing w:line="240" w:lineRule="auto"/>
        <w:ind w:left="720"/>
      </w:pPr>
      <w:r/>
      <w:hyperlink r:id="rId13">
        <w:r>
          <w:rPr>
            <w:color w:val="0000EE"/>
            <w:u w:val="single"/>
          </w:rPr>
          <w:t>[5]</w:t>
        </w:r>
      </w:hyperlink>
      <w:r>
        <w:t xml:space="preserve"> (U.S. Treasury/FinCEN report) - Paragraph 4 </w:t>
      </w:r>
      <w:r/>
    </w:p>
    <w:p>
      <w:pPr>
        <w:pStyle w:val="ListBullet"/>
        <w:spacing w:line="240" w:lineRule="auto"/>
        <w:ind w:left="720"/>
      </w:pPr>
      <w:r/>
      <w:hyperlink r:id="rId14">
        <w:r>
          <w:rPr>
            <w:color w:val="0000EE"/>
            <w:u w:val="single"/>
          </w:rPr>
          <w:t>[6]</w:t>
        </w:r>
      </w:hyperlink>
      <w:r>
        <w:t xml:space="preserve"> (JLL Global Real Estate Transparency Index) - Background context implied in paragraphs 4 and 7 </w:t>
      </w:r>
      <w:r/>
    </w:p>
    <w:p>
      <w:pPr>
        <w:pStyle w:val="ListBullet"/>
        <w:spacing w:line="240" w:lineRule="auto"/>
        <w:ind w:left="720"/>
      </w:pPr>
      <w:r/>
      <w:hyperlink r:id="rId15">
        <w:r>
          <w:rPr>
            <w:color w:val="0000EE"/>
            <w:u w:val="single"/>
          </w:rPr>
          <w:t>[7]</w:t>
        </w:r>
      </w:hyperlink>
      <w:r>
        <w:t xml:space="preserve"> (PR Newswire) - Background context on market risk in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https://www.newshub.co.uk/news/2025/11/06/uncovering-the-secrets-of-the-local-real-estate-market/</w:t>
        </w:r>
      </w:hyperlink>
      <w:r>
        <w:t xml:space="preserve"> - Please view link - unable to able to access data</w:t>
      </w:r>
      <w:r/>
    </w:p>
    <w:p>
      <w:pPr>
        <w:pStyle w:val="ListNumber"/>
        <w:spacing w:line="240" w:lineRule="auto"/>
        <w:ind w:left="720"/>
      </w:pPr>
      <w:r/>
      <w:hyperlink r:id="rId10">
        <w:r>
          <w:rPr>
            <w:color w:val="0000EE"/>
            <w:u w:val="single"/>
          </w:rPr>
          <w:t>https://www.apnews.com/article/7eaeb28e46caa570f00f6e986e9707a4</w:t>
        </w:r>
      </w:hyperlink>
      <w:r>
        <w:t xml:space="preserve"> - In February 2024, the Biden administration implemented new rules to enhance transparency in residential real estate transactions to combat money laundering. The Treasury Department's Financial Crimes Enforcement Network (FinCEN) proposed that real estate professionals must report all-cash sales to legal entities, trusts, and shell companies, aiming to curb the use of the U.S. real estate market by illicit actors to launder money and hide crime proceeds, which also inflate housing prices for law-abiding Americans. Previously, in December 2021, the White House announced plans to increase transparency in real estate to deter corrupt actors. Studies, such as those conducted in Canada, indicate that money laundering contributes to significant increases in housing prices. The proposal aligns with other transparency measures by Treasury, including a new beneficial ownership registry for small businesses. The National Small Business Association opposes the registry, arguing it unduly burdens small firms and oversteps state regulatory rights.</w:t>
      </w:r>
      <w:r/>
    </w:p>
    <w:p>
      <w:pPr>
        <w:pStyle w:val="ListNumber"/>
        <w:spacing w:line="240" w:lineRule="auto"/>
        <w:ind w:left="720"/>
      </w:pPr>
      <w:r/>
      <w:hyperlink r:id="rId11">
        <w:r>
          <w:rPr>
            <w:color w:val="0000EE"/>
            <w:u w:val="single"/>
          </w:rPr>
          <w:t>https://www.reuters.com/legal/legalindustry/fincen-regulations-that-are-combatting-corruption-impacting-real-estate-industry-2024-11-11/</w:t>
        </w:r>
      </w:hyperlink>
      <w:r>
        <w:t xml:space="preserve"> - In November 2024, the Financial Crimes Enforcement Network (FinCEN) introduced regulations to combat money laundering and corruption, significantly impacting the real estate industry. The Beneficial Ownership Information (BOI) program, mandated by the Corporate Transparency Act, requires corporations, LLCs, and many partnerships to disclose the individuals behind these entities. This program aims to prevent bad actors from using opaque ownership structures to hide illicit activities, with a compliance deadline of December 31, 2024. Additionally, FinCEN issued a rule to increase transparency in residential real estate transactions by requiring reports on all-cash purchases by entities, effective December 1, 2025. Real estate professionals must familiarize themselves with these regulations and assist their clients in complying to avoid penalties.</w:t>
      </w:r>
      <w:r/>
    </w:p>
    <w:p>
      <w:pPr>
        <w:pStyle w:val="ListNumber"/>
        <w:spacing w:line="240" w:lineRule="auto"/>
        <w:ind w:left="720"/>
      </w:pPr>
      <w:r/>
      <w:hyperlink r:id="rId12">
        <w:r>
          <w:rPr>
            <w:color w:val="0000EE"/>
            <w:u w:val="single"/>
          </w:rPr>
          <w:t>https://www.kiplinger.com/real-estate/landmark-real-estate-commission-settlement-why-costs-havent-dropped</w:t>
        </w:r>
      </w:hyperlink>
      <w:r>
        <w:t xml:space="preserve"> - In March 2024, the National Association of Realtors (NAR) reached a $418 million settlement intended to lower real estate commission costs and increase transparency. However, nearly a year later, many home sellers have yet to see significant savings. Traditionally, commissions averaged 5–6% of a home’s sale price, with sellers typically covering both their and the buyer's agents' fees. The settlement introduced changes, including removing the requirement for sellers to specify the buyer's agent's commission and barring commission split advertisements on MLS platforms. Buyers must now sign formal agreements defining agent fees. Despite these reforms, average commissions have not decreased. In fact, data from Redfin shows slight increases across most home price ranges by early 2025. The lack of change is attributed to industry inertia, agents' reluctance to shift from traditional structures, and limited consumer awareness. Experts stress the importance of home buyers and sellers engaging informed, trustworthy agents and carefully reviewing agent fee agreements to avoid unnecessary costs.</w:t>
      </w:r>
      <w:r/>
    </w:p>
    <w:p>
      <w:pPr>
        <w:pStyle w:val="ListNumber"/>
        <w:spacing w:line="240" w:lineRule="auto"/>
        <w:ind w:left="720"/>
      </w:pPr>
      <w:r/>
      <w:hyperlink r:id="rId13">
        <w:r>
          <w:rPr>
            <w:color w:val="0000EE"/>
            <w:u w:val="single"/>
          </w:rPr>
          <w:t>https://us.transparency.org/app/uploads/2024/08/Treasury-Finalizes-New-Anticorruption-Safeguards-for-U.S.-Real-Estate-Sector-and-Private-Investment-Advisers-1.pdf</w:t>
        </w:r>
      </w:hyperlink>
      <w:r>
        <w:t xml:space="preserve"> - In August 2024, the U.S. Department of Treasury’s Financial Crimes Enforcement Network (FinCEN) released final rules extending anticorruption and anti-money laundering safeguards to professionals in the U.S.’s residential real estate market and to investment advisers working in the U.S. private investment sector. The real estate rule establishes nationwide and permanent anti-money laundering requirements for the sale of residential real estate that involve a legal entity, regardless of the value of the transfer. The rule takes a risk-based approach and establishes a cascading reporting structure to ensure the filing and recordkeeping responsibilities fall to only one person involved in the transaction.</w:t>
      </w:r>
      <w:r/>
    </w:p>
    <w:p>
      <w:pPr>
        <w:pStyle w:val="ListNumber"/>
        <w:spacing w:line="240" w:lineRule="auto"/>
        <w:ind w:left="720"/>
      </w:pPr>
      <w:r/>
      <w:hyperlink r:id="rId14">
        <w:r>
          <w:rPr>
            <w:color w:val="0000EE"/>
            <w:u w:val="single"/>
          </w:rPr>
          <w:t>https://www.jll.com/en-us/insights/global-real-estate-transparency-index-rankings</w:t>
        </w:r>
      </w:hyperlink>
      <w:r>
        <w:t xml:space="preserve"> - The JLL Global Real Estate Transparency Index 2024 assesses market transparency across 89 countries and 151 city markets. The index scores markets on a scale of 1 to 5, with 1.00 being the highest possible score, and assigns markets to one of five transparency tiers: Highly Transparent, Transparent, Semi-Transparent, Low Transparency, and Opaque. The index evaluates transparency based on six broad sub-indices: Performance Measurement, Market Fundamentals, Governance of Listed Vehicles, Regulatory and Legal, Transaction Process, and Sustainability. The most transparent markets have registered the strongest gains in the 2024 Index as they set new benchmarks for technology integration, deeper data availability, and climate reporting.</w:t>
      </w:r>
      <w:r/>
    </w:p>
    <w:p>
      <w:pPr>
        <w:pStyle w:val="ListNumber"/>
        <w:spacing w:line="240" w:lineRule="auto"/>
        <w:ind w:left="720"/>
      </w:pPr>
      <w:r/>
      <w:hyperlink r:id="rId15">
        <w:r>
          <w:rPr>
            <w:color w:val="0000EE"/>
            <w:u w:val="single"/>
          </w:rPr>
          <w:t>https://www.prnewswire.com/news-releases/higher-risk-of-housing-market-slowdown-continues-in-california-new-jersey-and-illinois-302171464.html</w:t>
        </w:r>
      </w:hyperlink>
      <w:r>
        <w:t xml:space="preserve"> - In the first quarter of 2024, widely varying levels of risk continued to show up throughout the United States, with Chicago and New York City metro areas remaining more vulnerable, along with large areas of California. The metropolitan areas around Chicago, IL, and New York, NY, as well as broad stretches of northern and central California, had 25 of the 50 U.S. counties considered most vulnerable to housing market troubles. The 50 most at-risk counties included De Kalb, Kane, Kendall, McHenry, and Will counties in Illinois, Lake County in Indiana, Kings County (Brooklyn) in New York City, and four in the New York City suburbs (Essex, Passaic, Sussex, and Union counties, all in New Jersey). The 14 in California included Butte County (Chico), El Dorado County (outside Sacramento), Humboldt County (Eureka), Solano County (outside Sacramento), and Yolo County (outside Sacramento) in the northern part of the state, and Fresno County, Kern County (Bakersfield), Kings County (outside Fresno), Madera County (outside Fresno), Merced County, San Joaquin County (Stockton), Stanislas County (Modesto), and Tulare County (outside Fresno) in central California. One other, San Bernardino County, was in southern California. Counties facing greater exposure to declines have weaker levels of affordability, underwater mortgages, foreclosures, and unemployment.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hub.co.uk/news/2025/11/06/uncovering-the-secrets-of-the-local-real-estate-market/" TargetMode="External"/><Relationship Id="rId10" Type="http://schemas.openxmlformats.org/officeDocument/2006/relationships/hyperlink" Target="https://www.apnews.com/article/7eaeb28e46caa570f00f6e986e9707a4" TargetMode="External"/><Relationship Id="rId11" Type="http://schemas.openxmlformats.org/officeDocument/2006/relationships/hyperlink" Target="https://www.reuters.com/legal/legalindustry/fincen-regulations-that-are-combatting-corruption-impacting-real-estate-industry-2024-11-11/" TargetMode="External"/><Relationship Id="rId12" Type="http://schemas.openxmlformats.org/officeDocument/2006/relationships/hyperlink" Target="https://www.kiplinger.com/real-estate/landmark-real-estate-commission-settlement-why-costs-havent-dropped" TargetMode="External"/><Relationship Id="rId13" Type="http://schemas.openxmlformats.org/officeDocument/2006/relationships/hyperlink" Target="https://us.transparency.org/app/uploads/2024/08/Treasury-Finalizes-New-Anticorruption-Safeguards-for-U.S.-Real-Estate-Sector-and-Private-Investment-Advisers-1.pdf" TargetMode="External"/><Relationship Id="rId14" Type="http://schemas.openxmlformats.org/officeDocument/2006/relationships/hyperlink" Target="https://www.jll.com/en-us/insights/global-real-estate-transparency-index-rankings" TargetMode="External"/><Relationship Id="rId15" Type="http://schemas.openxmlformats.org/officeDocument/2006/relationships/hyperlink" Target="https://www.prnewswire.com/news-releases/higher-risk-of-housing-market-slowdown-continues-in-california-new-jersey-and-illinois-30217146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