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holds rates steady as markets absorb economic and geopolitical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Bank of England (BoE) has recently held its Bank Rate steady at 4.00%, marking a notable shift in its monetary policy stance. The decision, reached by a narrow 5-4 vote, highlights the increasing concern among policymakers about weakening demand and slowing growth momentum in the UK economy. Four members of the Monetary Policy Committee had advocated for a 25 basis-point cut, but the majority opted to maintain the current rate. While the committee acknowledged that inflation has likely peaked and is gradually easing, their focus has shifted away from persistent inflation risks toward addressing the challenges posed by a cooling economy. This cautious approach reflects a balancing act amid evolving economic conditions, with the BoE signalling readiness to respond as new data emerge.</w:t>
      </w:r>
      <w:r/>
    </w:p>
    <w:p>
      <w:r/>
      <w:r>
        <w:t>This pause in rate adjustments follows a period of heightened volatility and uncertainty in global markets. In February 2025, the BoE had kept rates at 4.5%, emphasizing the need to monitor economic and financial developments closely amid rising trade tensions and bond market fluctuations. More recently, the persistence of 'sticky' inflation, despite rate hikes, has tempered expectations for rapid rate reductions, especially as other central banks have varied in their approaches.</w:t>
      </w:r>
      <w:r/>
    </w:p>
    <w:p>
      <w:r/>
      <w:r>
        <w:t>Meanwhile, equity markets have been grappling with significant selling pressure. The recent selloff has erased gains from previous recoveries, with the S&amp;P 500 dropping over 1%, the Nasdaq Composite plunging nearly 1.8%, and broad market sentiment soured by fears over monetary policy uncertainty and slowing corporate earnings. The tech sector has been particularly hard hit, with major players like Palantir, Meta, Nvidia, and AMD experiencing sharp declines amid waning investor enthusiasm for high-valuation growth stocks, especially those tied to artificial intelligence and big tech narratives. This downturn reflects investors' increasing caution in trimming exposure to riskier growth assets as the economic backdrop becomes less predictable.</w:t>
      </w:r>
      <w:r/>
    </w:p>
    <w:p>
      <w:r/>
      <w:r>
        <w:t>Underlying these market moves are wider economic concerns. Earlier this year, notable political and trade developments, including the imposition of tariffs by the Trump administration, had already unsettled markets, contributing to the largest one-day losses in U.S. equities since late 2024. These tariff policies, targeting key trading partners such as Canada, Mexico, and China, amplified investor fears of an economic slowdown and disrupted corporate strategies. Although some recent easing in tensions has helped stabilize markets, the residual uncertainty persists, influencing both investor sentiment and corporate earnings forecasts.</w:t>
      </w:r>
      <w:r/>
    </w:p>
    <w:p>
      <w:r/>
      <w:r>
        <w:t>In this context, today's earnings reports from key companies are eagerly anticipated as indicators of sectoral resilience and broader economic trends. Private equity firm KKR's quarterly results are expected to shed light on institutional risk appetite and fundraising dynamics, with analysts forecasting earnings per share around $1.30, tempered by potential markdowns in real assets amid volatility. In the energy sector, Constellation Energy's numbers will be closely watched for guidance on nuclear output stability and responses to fluctuating natural gas markets, while the firm’s clean energy investments remain a focal point.</w:t>
      </w:r>
      <w:r/>
    </w:p>
    <w:p>
      <w:r/>
      <w:r>
        <w:t>Japan’s industrial health will come under scrutiny with Honda's fiscal 2026 second-quarter results, expected before U.S. markets open. Investors are particularly interested in how the automaker is navigating challenges such as yen currency fluctuations, rising electric vehicle development costs, and slowing sales in China. Any signs of margin stabilisation and clarity on battery technology partnerships will be pivotal as Honda advances its electrification strategy.</w:t>
      </w:r>
      <w:r/>
    </w:p>
    <w:p>
      <w:r/>
      <w:r>
        <w:t>Lastly, Trump Media (Truth Social) faces another volatile earnings release, with no consensus EPS estimate due to its niche market status and high retail trading volume. Metrics on user growth, advertising revenue, and platform monetization will be vital to market expectations, though significant price swings are anticipated post-report. This company adds a layer of headline risk and retail-focused speculation to an already complex earnings day.</w:t>
      </w:r>
      <w:r/>
    </w:p>
    <w:p>
      <w:r/>
      <w:r>
        <w:t>Collectively, these developments illustrate a market environment shaped by cautious optimism, geopolitical risks, and sector-specific challenges. Investors are navigating the interplay between central bank policy shifts, economic data releases, and corporate earnings updates, all amid ongoing macroeconomic uncertainties that temper hopes for a swift return to robust growth.</w:t>
      </w:r>
      <w:r/>
    </w:p>
    <w:p>
      <w:pPr>
        <w:pStyle w:val="Heading3"/>
      </w:pPr>
      <w:r>
        <w:t>📌 Reference Map:</w:t>
      </w:r>
      <w:r/>
      <w:r/>
    </w:p>
    <w:p>
      <w:pPr>
        <w:pStyle w:val="ListBullet"/>
        <w:spacing w:line="240" w:lineRule="auto"/>
        <w:ind w:left="720"/>
      </w:pPr>
      <w:r/>
      <w:hyperlink r:id="rId9">
        <w:r>
          <w:rPr>
            <w:color w:val="0000EE"/>
            <w:u w:val="single"/>
          </w:rPr>
          <w:t>[1]</w:t>
        </w:r>
      </w:hyperlink>
      <w:r>
        <w:t xml:space="preserve"> (FX Leaders) - Paragraphs 1, 3, 4, 5, 6, 7, 8</w:t>
      </w:r>
      <w:r/>
    </w:p>
    <w:p>
      <w:pPr>
        <w:pStyle w:val="ListBullet"/>
        <w:spacing w:line="240" w:lineRule="auto"/>
        <w:ind w:left="720"/>
      </w:pPr>
      <w:r/>
      <w:hyperlink r:id="rId10">
        <w:r>
          <w:rPr>
            <w:color w:val="0000EE"/>
            <w:u w:val="single"/>
          </w:rPr>
          <w:t>[2]</w:t>
        </w:r>
      </w:hyperlink>
      <w:r>
        <w:t xml:space="preserve"> (Bank of England) - Paragraph 1, 2</w:t>
      </w:r>
      <w:r/>
    </w:p>
    <w:p>
      <w:pPr>
        <w:pStyle w:val="ListBullet"/>
        <w:spacing w:line="240" w:lineRule="auto"/>
        <w:ind w:left="720"/>
      </w:pPr>
      <w:r/>
      <w:hyperlink r:id="rId11">
        <w:r>
          <w:rPr>
            <w:color w:val="0000EE"/>
            <w:u w:val="single"/>
          </w:rPr>
          <w:t>[3]</w:t>
        </w:r>
      </w:hyperlink>
      <w:r>
        <w:t xml:space="preserve"> (AP News) - Paragraph 3</w:t>
      </w:r>
      <w:r/>
    </w:p>
    <w:p>
      <w:pPr>
        <w:pStyle w:val="ListBullet"/>
        <w:spacing w:line="240" w:lineRule="auto"/>
        <w:ind w:left="720"/>
      </w:pPr>
      <w:r/>
      <w:hyperlink r:id="rId12">
        <w:r>
          <w:rPr>
            <w:color w:val="0000EE"/>
            <w:u w:val="single"/>
          </w:rPr>
          <w:t>[4]</w:t>
        </w:r>
      </w:hyperlink>
      <w:r>
        <w:t xml:space="preserve"> (Reuters) - Paragraph 4</w:t>
      </w:r>
      <w:r/>
    </w:p>
    <w:p>
      <w:pPr>
        <w:pStyle w:val="ListBullet"/>
        <w:spacing w:line="240" w:lineRule="auto"/>
        <w:ind w:left="720"/>
      </w:pPr>
      <w:r/>
      <w:hyperlink r:id="rId13">
        <w:r>
          <w:rPr>
            <w:color w:val="0000EE"/>
            <w:u w:val="single"/>
          </w:rPr>
          <w:t>[5]</w:t>
        </w:r>
      </w:hyperlink>
      <w:r>
        <w:t xml:space="preserve"> (Reuters) - Paragraph 4</w:t>
      </w:r>
      <w:r/>
    </w:p>
    <w:p>
      <w:pPr>
        <w:pStyle w:val="ListBullet"/>
        <w:spacing w:line="240" w:lineRule="auto"/>
        <w:ind w:left="720"/>
      </w:pPr>
      <w:r/>
      <w:hyperlink r:id="rId14">
        <w:r>
          <w:rPr>
            <w:color w:val="0000EE"/>
            <w:u w:val="single"/>
          </w:rPr>
          <w:t>[6]</w:t>
        </w:r>
      </w:hyperlink>
      <w:r>
        <w:t xml:space="preserve"> (AP News) - Paragraph 4</w:t>
      </w:r>
      <w:r/>
    </w:p>
    <w:p>
      <w:pPr>
        <w:pStyle w:val="ListBullet"/>
        <w:spacing w:line="240" w:lineRule="auto"/>
        <w:ind w:left="720"/>
      </w:pPr>
      <w:r/>
      <w:hyperlink r:id="rId15">
        <w:r>
          <w:rPr>
            <w:color w:val="0000EE"/>
            <w:u w:val="single"/>
          </w:rPr>
          <w:t>[7]</w:t>
        </w:r>
      </w:hyperlink>
      <w:r>
        <w:t xml:space="preserve"> (Evening Standard)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https://www.fxleaders.com/news/2025/11/06/forex-signals-nov-7-kkr-constellation-energy-honda-trump-media-earnings-preview/</w:t>
        </w:r>
      </w:hyperlink>
      <w:r>
        <w:t xml:space="preserve"> - Please view link - unable to able to access data</w:t>
      </w:r>
      <w:r/>
    </w:p>
    <w:p>
      <w:pPr>
        <w:pStyle w:val="ListNumber"/>
        <w:spacing w:line="240" w:lineRule="auto"/>
        <w:ind w:left="720"/>
      </w:pPr>
      <w:r/>
      <w:hyperlink r:id="rId10">
        <w:r>
          <w:rPr>
            <w:color w:val="0000EE"/>
            <w:u w:val="single"/>
          </w:rPr>
          <w:t>https://www.bankofengland.co.uk/monetary-policy-summary-and-minutes/2025/february-2025</w:t>
        </w:r>
      </w:hyperlink>
      <w:r>
        <w:t xml:space="preserve"> - In February 2025, the Bank of England's Monetary Policy Committee (MPC) maintained the Bank Rate at 4.5%. The decision was influenced by global economic developments, including trade tensions and their impact on UK government bond yields. The MPC acknowledged increased economic uncertainty and financial market volatility, noting that the ultimate impact would depend on the final composition of policies. The Committee emphasized the need to monitor economic developments closely and indicated that future policy decisions would be based on evolving economic conditions.</w:t>
      </w:r>
      <w:r/>
    </w:p>
    <w:p>
      <w:pPr>
        <w:pStyle w:val="ListNumber"/>
        <w:spacing w:line="240" w:lineRule="auto"/>
        <w:ind w:left="720"/>
      </w:pPr>
      <w:r/>
      <w:hyperlink r:id="rId11">
        <w:r>
          <w:rPr>
            <w:color w:val="0000EE"/>
            <w:u w:val="single"/>
          </w:rPr>
          <w:t>https://apnews.com/article/51d8dd86310939070c82b2056a06389f</w:t>
        </w:r>
      </w:hyperlink>
      <w:r>
        <w:t xml:space="preserve"> - On November 6, 2025, U.S. stock indexes declined, with the S&amp;P 500 falling 1.1% to 6,720.32, the Dow Jones Industrial Average dropping 0.8% to 46,912.30, and the Nasdaq Composite losing 1.9% to 23,053.99. The downturn was influenced by declines in major tech stocks and significant drops in specific companies. For the week, all major indexes were down, with the S&amp;P 500 decreasing by 1.8%, the Dow by 1.4%, the Nasdaq by 2.8%, and the Russell 2000 by 2.4%. However, year-to-date figures remained positive.</w:t>
      </w:r>
      <w:r/>
    </w:p>
    <w:p>
      <w:pPr>
        <w:pStyle w:val="ListNumber"/>
        <w:spacing w:line="240" w:lineRule="auto"/>
        <w:ind w:left="720"/>
      </w:pPr>
      <w:r/>
      <w:hyperlink r:id="rId12">
        <w:r>
          <w:rPr>
            <w:color w:val="0000EE"/>
            <w:u w:val="single"/>
          </w:rPr>
          <w:t>https://www.reuters.com/markets/us/goldman-sachs-cuts-sp-500-2025-year-end-target-6200-2025-03-12/</w:t>
        </w:r>
      </w:hyperlink>
      <w:r>
        <w:t xml:space="preserve"> - In March 2025, Goldman Sachs reduced its year-end target for the S&amp;P 500 Index from 6,500 to 6,200, citing increased policy uncertainty, particularly concerning tariffs, and concerns over economic growth. This new target was still 10.6% higher than the index's last close of 5,572.07. The S&amp;P 500 experienced its largest one-day drop since December 18, erasing $4 trillion from its recent peak. The decline was partly due to a 14% decrease in the share prices of the 'Magnificent 7' stocks, leading their price-to-earnings ratio to drop from 30x to 26x.</w:t>
      </w:r>
      <w:r/>
    </w:p>
    <w:p>
      <w:pPr>
        <w:pStyle w:val="ListNumber"/>
        <w:spacing w:line="240" w:lineRule="auto"/>
        <w:ind w:left="720"/>
      </w:pPr>
      <w:r/>
      <w:hyperlink r:id="rId13">
        <w:r>
          <w:rPr>
            <w:color w:val="0000EE"/>
            <w:u w:val="single"/>
          </w:rPr>
          <w:t>https://www.reuters.com/markets/us/investors-flee-equities-trump-driven-uncertainty-sparks-economic-worry-2025-03-10/</w:t>
        </w:r>
      </w:hyperlink>
      <w:r>
        <w:t xml:space="preserve"> - In March 2025, the U.S. stock market experienced a substantial loss of $4 trillion in value due to President Trump's tariff policies, which alarmed investors and created fears of an economic downturn. The S&amp;P 500 fell nearly 8.6% from its peak in February and was close to entering a correction, while the Nasdaq Composite dropped over 10%. Trump's tariffs and trade policies, particularly against Canada, Mexico, and China, increased uncertainty, leading businesses and investors to reconsider their strategies. Market sentiment shifted markedly, causing significant declines across major indices, particularly in the technology sector.</w:t>
      </w:r>
      <w:r/>
    </w:p>
    <w:p>
      <w:pPr>
        <w:pStyle w:val="ListNumber"/>
        <w:spacing w:line="240" w:lineRule="auto"/>
        <w:ind w:left="720"/>
      </w:pPr>
      <w:r/>
      <w:hyperlink r:id="rId14">
        <w:r>
          <w:rPr>
            <w:color w:val="0000EE"/>
            <w:u w:val="single"/>
          </w:rPr>
          <w:t>https://apnews.com/article/fd74377af3bc0d4617fe7263e053ffc0</w:t>
        </w:r>
      </w:hyperlink>
      <w:r>
        <w:t xml:space="preserve"> - In August 2025, U.S. stock markets experienced a modest pullback, with the S&amp;P 500 falling 0.3%, the Dow Jones Industrial Average slipping 0.6%, and the Nasdaq Composite dipping 0.2%, following record highs the previous day. This marked a weekly loss for major indexes after two weeks of gains. The market's decline coincided with escalating trade tensions, as President Trump announced a steep increase in tariffs on Canadian imports to 35%, extending deadlines for trade deals to August 1. Tariff threats on pharmaceuticals and copper were also floated. Investors were bracing for upcoming corporate earnings reports, with major banks set to report next week.</w:t>
      </w:r>
      <w:r/>
    </w:p>
    <w:p>
      <w:pPr>
        <w:pStyle w:val="ListNumber"/>
        <w:spacing w:line="240" w:lineRule="auto"/>
        <w:ind w:left="720"/>
      </w:pPr>
      <w:r/>
      <w:hyperlink r:id="rId15">
        <w:r>
          <w:rPr>
            <w:color w:val="0000EE"/>
            <w:u w:val="single"/>
          </w:rPr>
          <w:t>https://www.standard.co.uk/business/bank-of-england-leaves-interest-rates-on-hold-at-4-b1248362.html</w:t>
        </w:r>
      </w:hyperlink>
      <w:r>
        <w:t xml:space="preserve"> - In September 2025, the Bank of England left interest rates unchanged at 4%, disappointing homeowners and businesses. The Bank's Monetary Policy Committee (MPC) stated that the rate of inflation was still too high to justify a further reduction in the cost of borrowing. The decision was widely expected but came as a blow for the housing market and small businesses burdened with heavy debt. This followed a quarter-point cut in U.S. interest rates to 4% to 4.25% the previous day. Eurozone interest rates, set by the European Central Bank, stood between 2% and 2.4%. The Bank had cut rates in the UK five times since August last year, each time by a quarter point, but 'sticky' inflation had stayed higher for longer than hoped for.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leaders.com/news/2025/11/06/forex-signals-nov-7-kkr-constellation-energy-honda-trump-media-earnings-preview/" TargetMode="External"/><Relationship Id="rId10" Type="http://schemas.openxmlformats.org/officeDocument/2006/relationships/hyperlink" Target="https://www.bankofengland.co.uk/monetary-policy-summary-and-minutes/2025/february-2025" TargetMode="External"/><Relationship Id="rId11" Type="http://schemas.openxmlformats.org/officeDocument/2006/relationships/hyperlink" Target="https://apnews.com/article/51d8dd86310939070c82b2056a06389f" TargetMode="External"/><Relationship Id="rId12" Type="http://schemas.openxmlformats.org/officeDocument/2006/relationships/hyperlink" Target="https://www.reuters.com/markets/us/goldman-sachs-cuts-sp-500-2025-year-end-target-6200-2025-03-12/" TargetMode="External"/><Relationship Id="rId13" Type="http://schemas.openxmlformats.org/officeDocument/2006/relationships/hyperlink" Target="https://www.reuters.com/markets/us/investors-flee-equities-trump-driven-uncertainty-sparks-economic-worry-2025-03-10/" TargetMode="External"/><Relationship Id="rId14" Type="http://schemas.openxmlformats.org/officeDocument/2006/relationships/hyperlink" Target="https://apnews.com/article/fd74377af3bc0d4617fe7263e053ffc0" TargetMode="External"/><Relationship Id="rId15" Type="http://schemas.openxmlformats.org/officeDocument/2006/relationships/hyperlink" Target="https://www.standard.co.uk/business/bank-of-england-leaves-interest-rates-on-hold-at-4-b124836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