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business districts adapt and evolve into mixed-use innovation hubs amid sustainability and talent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business districts have not only rebounded from the pandemic's impact but emerged stronger, signalling their continued economic significance worldwide. According to a recent report by EY and the Urban Land Institute (ULI), over 60% of global real estate professionals surveyed now view these districts as more desirable than before COVID-19. Despite initial forecasts predicting decline, these business hubs have adapted successfully and remain the nerve centres of economic influence, albeit with evolving roles and challenges.</w:t>
      </w:r>
      <w:r/>
    </w:p>
    <w:p>
      <w:r/>
      <w:r>
        <w:t>The EY-ULI report examines 30 key business districts across 19 countries spanning North America, Europe, and Asia. These areas collectively host 84 Fortune 500 Global headquarters, 296 other corporate headquarters, employ close to 7 million professionals, and generate an estimated $4.5 trillion in annual GDP. Topping the 2025 rankings are established powerhouses such as Midtown Manhattan, New York’s Financial District, Tokyo’s Marunouchi, Paris’s La Défense, and the City of London. These districts continue to dominate, reflecting their long-standing status as premier global business hubs. However, the study also highlights threats to their dominance, including slower property investment and rising vacancy rates, especially in North America where vacancy levels are reportedly three times higher than in Asia.</w:t>
      </w:r>
      <w:r/>
    </w:p>
    <w:p>
      <w:r/>
      <w:r>
        <w:t>A shifting landscape of priorities among businesses and real estate experts reveals four key megatrends shaping the future of these districts. Foremost is the emphasis on attracting and retaining talent, a priority cited by 76% of respondents. This evolution requires business districts to transform into mixed-use environments that incorporate residential spaces, green areas, cultural and leisure amenities, as well as diversified services, going beyond traditional office-centric models. According to EY partner Marc Lhermitte, businesses are increasingly willing to pay premiums for quality and sustainability, but hybrid working models have redefined what qualities make a location "prime." Factors like flexibility, accessibility, and a strong sense of place have become equally critical to rent in determining desirability.</w:t>
      </w:r>
      <w:r/>
    </w:p>
    <w:p>
      <w:r/>
      <w:r>
        <w:t>The shortage of affordable housing is another pressing issue, with nearly half of the surveyed executives identifying it as a key priority. Business districts failing to provide sufficient affordable residential options may find it harder to attract the workforce necessary for growth and innovation. Adding to this, the demand for adaptable, modern office spaces is overtaking prestige addresses. The preference for functional, affordable spaces over iconic but aging buildings reflects a broader search for value amid changing work habits.</w:t>
      </w:r>
      <w:r/>
    </w:p>
    <w:p>
      <w:r/>
      <w:r>
        <w:t>Technology integration, particularly the adoption of artificial intelligence, forms the third megatrend, underscoring the need for districts to foster innovation ecosystems. Current data reveal only 12% of high-growth privately held "unicorn" start-ups are headquartered in these traditional business districts, illustrating a gap that tech-friendly, innovative hubs could fill, potentially reshaping the global rankings. The ability to attract and nurture start-ups is increasingly seen as vital for future competitiveness.</w:t>
      </w:r>
      <w:r/>
    </w:p>
    <w:p>
      <w:r/>
      <w:r>
        <w:t>Sustainability completes the quartet of guiding megatrends. Over half of business district stakeholders cited low-carbon mobility, such as eco-friendly transport options, as a crucial factor in location decision-making. Building retrofits aimed at energy efficiency and the integration of green and blue infrastructure (parks, waterways, etc.) are also prominent priorities. Yet, fewer than 10% of executives believe that current sustainability efforts are adequate, signalling considerable room for improvement.</w:t>
      </w:r>
      <w:r/>
    </w:p>
    <w:p>
      <w:r/>
      <w:r>
        <w:t>Regional differences emerge clearly in the report. North American business districts, despite their global stature, grapple with safety concerns and comparatively high vacancies. Cities like Los Angeles and San Francisco exemplify these struggles. Conversely, Asian hubs including Beijing, Singapore, and Seoul are not only reinforcing their positions but achieving more positive outcomes on vacancy rates and rental performance, aided by dynamic economic momentum.</w:t>
      </w:r>
      <w:r/>
    </w:p>
    <w:p>
      <w:r/>
      <w:r>
        <w:t>Additional insights from a JLL report align closely with these findings, noting that central business districts must reinvent themselves to address property obsolescence, embrace decarbonisation, and compete with emerging submarkets. The emphasis on mixed-use urban environments and technology adoption, including AI, is echoed as critical for closing the "unicorn gap" and maintaining relevance. Sustainability measures such as green infrastructure and eco-friendly transit are seen as essential components of future resilience.</w:t>
      </w:r>
      <w:r/>
    </w:p>
    <w:p>
      <w:r/>
      <w:r>
        <w:t>Further corroborating research from the ULI affirms the leadership of Western European and North American districts like the City of London and Midtown Manhattan but stresses that these hubs must evolve in a post-pandemic world. The future will be shaped by optimized, safer, and more inviting workplaces coupled with quality of life factors that promote health, well-being, and a seamless live/work/play environment.</w:t>
      </w:r>
      <w:r/>
    </w:p>
    <w:p>
      <w:r/>
      <w:r>
        <w:t>Taken together, these comprehensive studies suggest that global business districts, while resilient, face an imperative to evolve beyond traditional conceptions. Their continued strength will depend on adaptability to new workplace paradigms, sustainability commitments, technological integration, and the ability to create vibrant, inclusive urban spaces that attract top talent and innovation. Those districts that successfully transition into mixed-use "central social districts," fostering collaboration between business, academia, and start-ups while addressing housing and infrastructure challenges, will likely ensure their dominance through 2025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(Bisnow) - Paragraphs 1, 2, 3, 4, 5, 6, 7 </w:t>
      </w:r>
      <w:r/>
    </w:p>
    <w:p>
      <w:pPr>
        <w:pStyle w:val="ListBullet"/>
        <w:spacing w:line="240" w:lineRule="auto"/>
        <w:ind w:left="720"/>
      </w:pPr>
      <w:r/>
      <w:hyperlink r:id="rId10">
        <w:r>
          <w:rPr>
            <w:color w:val="0000EE"/>
            <w:u w:val="single"/>
          </w:rPr>
          <w:t>[2]</w:t>
        </w:r>
      </w:hyperlink>
      <w:r>
        <w:t xml:space="preserve"> (Workplace Insight) - Paragraphs 2, 3, 4, 5 </w:t>
      </w:r>
      <w:r/>
    </w:p>
    <w:p>
      <w:pPr>
        <w:pStyle w:val="ListBullet"/>
        <w:spacing w:line="240" w:lineRule="auto"/>
        <w:ind w:left="720"/>
      </w:pPr>
      <w:r/>
      <w:hyperlink r:id="rId11">
        <w:r>
          <w:rPr>
            <w:color w:val="0000EE"/>
            <w:u w:val="single"/>
          </w:rPr>
          <w:t>[3]</w:t>
        </w:r>
      </w:hyperlink>
      <w:r>
        <w:t xml:space="preserve"> (JLL Research) - Paragraph 6 </w:t>
      </w:r>
      <w:r/>
    </w:p>
    <w:p>
      <w:pPr>
        <w:pStyle w:val="ListBullet"/>
        <w:spacing w:line="240" w:lineRule="auto"/>
        <w:ind w:left="720"/>
      </w:pPr>
      <w:r/>
      <w:hyperlink r:id="rId12">
        <w:r>
          <w:rPr>
            <w:color w:val="0000EE"/>
            <w:u w:val="single"/>
          </w:rPr>
          <w:t>[4]</w:t>
        </w:r>
      </w:hyperlink>
      <w:r>
        <w:t xml:space="preserve"> (ULI UrbanLand) - Paragraph 7 </w:t>
      </w:r>
      <w:r/>
    </w:p>
    <w:p>
      <w:pPr>
        <w:pStyle w:val="ListBullet"/>
        <w:spacing w:line="240" w:lineRule="auto"/>
        <w:ind w:left="720"/>
      </w:pPr>
      <w:r/>
      <w:hyperlink r:id="rId13">
        <w:r>
          <w:rPr>
            <w:color w:val="0000EE"/>
            <w:u w:val="single"/>
          </w:rPr>
          <w:t>[5]</w:t>
        </w:r>
      </w:hyperlink>
      <w:r>
        <w:t xml:space="preserve"> (CommercialSearch) - Paragraph 4 </w:t>
      </w:r>
      <w:r/>
    </w:p>
    <w:p>
      <w:pPr>
        <w:pStyle w:val="ListBullet"/>
        <w:spacing w:line="240" w:lineRule="auto"/>
        <w:ind w:left="720"/>
      </w:pPr>
      <w:r/>
      <w:hyperlink r:id="rId14">
        <w:r>
          <w:rPr>
            <w:color w:val="0000EE"/>
            <w:u w:val="single"/>
          </w:rPr>
          <w:t>[6]</w:t>
        </w:r>
      </w:hyperlink>
      <w:r>
        <w:t xml:space="preserve"> (ULI Report 2020) - Paragraph 7 </w:t>
      </w:r>
      <w:r/>
    </w:p>
    <w:p>
      <w:pPr>
        <w:pStyle w:val="ListBullet"/>
        <w:spacing w:line="240" w:lineRule="auto"/>
        <w:ind w:left="720"/>
      </w:pPr>
      <w:r/>
      <w:hyperlink r:id="rId15">
        <w:r>
          <w:rPr>
            <w:color w:val="0000EE"/>
            <w:u w:val="single"/>
          </w:rPr>
          <w:t>[7]</w:t>
        </w:r>
      </w:hyperlink>
      <w:r>
        <w:t xml:space="preserve"> (BCG Study)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https://www.bisnow.com/national/news/commercial-real-estate/global-business-districts-are-rebounding-but-face-new-challenges-131887</w:t>
        </w:r>
      </w:hyperlink>
      <w:r>
        <w:t xml:space="preserve"> - Please view link - unable to able to access data</w:t>
      </w:r>
      <w:r/>
    </w:p>
    <w:p>
      <w:pPr>
        <w:pStyle w:val="ListNumber"/>
        <w:spacing w:line="240" w:lineRule="auto"/>
        <w:ind w:left="720"/>
      </w:pPr>
      <w:r/>
      <w:hyperlink r:id="rId10">
        <w:r>
          <w:rPr>
            <w:color w:val="0000EE"/>
            <w:u w:val="single"/>
          </w:rPr>
          <w:t>https://workplaceinsight.net/worlds-business-districts-regain-strength-but-face-ongoing-challenges/</w:t>
        </w:r>
      </w:hyperlink>
      <w:r>
        <w:t xml:space="preserve"> - A 2025 report from EY and the Urban Land Institute indicates that nearly two-thirds of surveyed stakeholders now find global business districts more attractive than before the pandemic. The study evaluates 30 leading districts across Europe, North America, and Asia, highlighting that established hubs like Midtown Manhattan, New York's Financial District, Tokyo's Marunouchi, Paris's La Défense, and London's City remain dominant. However, challenges such as elevated vacancy rates in North American cities, particularly Los Angeles and San Francisco, persist. In contrast, Asian districts like Beijing, Singapore, and Seoul are strengthening their positions, reflecting the region's economic momentum. The report also identifies four megatrends shaping future competitiveness: attracting talent, ensuring real estate represents fair value, addressing the shortfall in high-growth start-ups, and accelerating sustainability. Talent attraction is now the top priority for more than three-quarters of executives, underscoring the importance of districts offering strong transport connections, high-quality services, cultural amenities, and diverse uses. Technology is becoming integral to district performance, yet only a small proportion of high-growth start-ups are based within traditional business districts, raising concerns about their innovation capacity. Sustainability remains a critical challenge, with fewer than one in ten executives believing current efforts are on track. Low-carbon mobility, retrofits, and green infrastructure are identified as the most impactful priorities. Looking ahead, the report argues that business districts will need to evolve into mixed-use 'central social districts', with a stronger emphasis on resilience, climate adaptation, and the integration of work, living, and culture. Recommendations include prioritising affordable housing, accelerating adaptive reuse, expanding digital infrastructure, and fostering greater collaboration between business, academia, and start-ups.</w:t>
      </w:r>
      <w:r/>
    </w:p>
    <w:p>
      <w:pPr>
        <w:pStyle w:val="ListNumber"/>
        <w:spacing w:line="240" w:lineRule="auto"/>
        <w:ind w:left="720"/>
      </w:pPr>
      <w:r/>
      <w:hyperlink r:id="rId11">
        <w:r>
          <w:rPr>
            <w:color w:val="0000EE"/>
            <w:u w:val="single"/>
          </w:rPr>
          <w:t>https://www.jll-mena.com/en/trends-and-insights/research/the-future-of-the-central-business-district</w:t>
        </w:r>
      </w:hyperlink>
      <w:r>
        <w:t xml:space="preserve"> - A JLL Research report highlights that central business districts (CBDs) are at an inflection point, facing challenges such as new hybrid and remote work arrangements, aging real estate, competition from emerging submarkets, and fluctuating commuting patterns. To remain attractive and competitive, CBDs need to reinvent themselves by addressing property obsolescence, accelerating real estate decarbonization efforts, and competing with new districts. The report emphasizes the importance of mixed-use characteristics and the need for CBDs to adapt to modern technology, including artificial intelligence, to close the 'unicorn gap'. Sustainability is also a key factor, with low-carbon mobility, building retrofits, and green infrastructure being critical priorities. The report concludes that CBDs must evolve into inclusive urban destinations, beyond concentrations of office space, to successfully adapt to the future.</w:t>
      </w:r>
      <w:r/>
    </w:p>
    <w:p>
      <w:pPr>
        <w:pStyle w:val="ListNumber"/>
        <w:spacing w:line="240" w:lineRule="auto"/>
        <w:ind w:left="720"/>
      </w:pPr>
      <w:r/>
      <w:hyperlink r:id="rId12">
        <w:r>
          <w:rPr>
            <w:color w:val="0000EE"/>
            <w:u w:val="single"/>
          </w:rPr>
          <w:t>https://www.uli.org/urbanland/ey-uli-report-highlights-long-term-attractiveness-of-global-business-districts-for-the-future</w:t>
        </w:r>
      </w:hyperlink>
      <w:r>
        <w:t xml:space="preserve"> - An international study assesses and compares 21 leading global business districts, confirming that business districts in western Europe and North America continue to lead the way amid fierce competition from Asian business districts. The study highlights that the City of London takes the top position in the GBD rankings, followed by New York City's Midtown, Tokyo's Marunouchi, and Paris's La Défense. The report emphasizes the importance of attracting talent, with quality of life, health and well-being, and the availability of a live/work/play environment being key elements. It also notes that business districts will need to adapt to a 'new normal' post COVID-19, focusing on optimized, safer, and more attractive workplaces.</w:t>
      </w:r>
      <w:r/>
    </w:p>
    <w:p>
      <w:pPr>
        <w:pStyle w:val="ListNumber"/>
        <w:spacing w:line="240" w:lineRule="auto"/>
        <w:ind w:left="720"/>
      </w:pPr>
      <w:r/>
      <w:hyperlink r:id="rId13">
        <w:r>
          <w:rPr>
            <w:color w:val="0000EE"/>
            <w:u w:val="single"/>
          </w:rPr>
          <w:t>https://www.commercialsearch.com/news/global-business-districts-rankings-shift/</w:t>
        </w:r>
      </w:hyperlink>
      <w:r>
        <w:t xml:space="preserve"> - A comparison between the 2020 and 2017 Attractiveness of Global Business Districts Reports reveals that while cities in the West remain at the forefront, Asian business districts are beginning to close the gap. The leading GBDs on the EY-ULI Index have not changed; the City of London, Midtown in New York, Tokyo's Marunouchi district, Paris' La Défense, and London's Canary Wharf continue to hold the top five positions. The report highlights the importance of attracting talent, with the ability to attract talent becoming even more significant in the 2020 edition compared to 2017.</w:t>
      </w:r>
      <w:r/>
    </w:p>
    <w:p>
      <w:pPr>
        <w:pStyle w:val="ListNumber"/>
        <w:spacing w:line="240" w:lineRule="auto"/>
        <w:ind w:left="720"/>
      </w:pPr>
      <w:r/>
      <w:hyperlink r:id="rId14">
        <w:r>
          <w:rPr>
            <w:color w:val="0000EE"/>
            <w:u w:val="single"/>
          </w:rPr>
          <w:t>https://www.uli.org/the-attractiveness-of-global-business-districts</w:t>
        </w:r>
      </w:hyperlink>
      <w:r>
        <w:t xml:space="preserve"> - The 2020 Attractiveness of Global Business Districts Report is the only international study that assesses and compares the world's leading business districts. The research looks at the world's largest concentrations of businesses, skills, economic power, and capital. The report highlights the importance of attracting talent, with 70% of business district users deeming 'access to talent' to be the most important criteria when evaluating the attractiveness of business districts. It also emphasizes the need for business districts to adapt to changing user demands, with a specific focus on the current crisis and what might be the changes in expectations and requirements for business districts coming out of the COVID-19 crisis.</w:t>
      </w:r>
      <w:r/>
    </w:p>
    <w:p>
      <w:pPr>
        <w:pStyle w:val="ListNumber"/>
        <w:spacing w:line="240" w:lineRule="auto"/>
        <w:ind w:left="720"/>
      </w:pPr>
      <w:r/>
      <w:hyperlink r:id="rId15">
        <w:r>
          <w:rPr>
            <w:color w:val="0000EE"/>
            <w:u w:val="single"/>
          </w:rPr>
          <w:t>https://www.bcg.com/publications/2025/reviving-city-center-office-buildings-knowledge-campus</w:t>
        </w:r>
      </w:hyperlink>
      <w:r>
        <w:t xml:space="preserve"> - A BCG study assesses commercial vacancy rates and rent, finding that in many central business districts (CBDs), developers have been hit hard, facing rising vacancies and declining commercial rent. The study notes that Tokyo and Osaka, Japan, as well as Seoul, South Korea, achieved positive outcomes on vacancy and rent metrics and performed strong financially overall. The study reflects the impact of COVID-19, which has been felt deeply in the CBDs that have long been home to white-collar jobs—and thus the source of cities' economic and cultural vitality.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national/news/commercial-real-estate/global-business-districts-are-rebounding-but-face-new-challenges-131887" TargetMode="External"/><Relationship Id="rId10" Type="http://schemas.openxmlformats.org/officeDocument/2006/relationships/hyperlink" Target="https://workplaceinsight.net/worlds-business-districts-regain-strength-but-face-ongoing-challenges/" TargetMode="External"/><Relationship Id="rId11" Type="http://schemas.openxmlformats.org/officeDocument/2006/relationships/hyperlink" Target="https://www.jll-mena.com/en/trends-and-insights/research/the-future-of-the-central-business-district" TargetMode="External"/><Relationship Id="rId12" Type="http://schemas.openxmlformats.org/officeDocument/2006/relationships/hyperlink" Target="https://www.uli.org/urbanland/ey-uli-report-highlights-long-term-attractiveness-of-global-business-districts-for-the-future" TargetMode="External"/><Relationship Id="rId13" Type="http://schemas.openxmlformats.org/officeDocument/2006/relationships/hyperlink" Target="https://www.commercialsearch.com/news/global-business-districts-rankings-shift/" TargetMode="External"/><Relationship Id="rId14" Type="http://schemas.openxmlformats.org/officeDocument/2006/relationships/hyperlink" Target="https://www.uli.org/the-attractiveness-of-global-business-districts" TargetMode="External"/><Relationship Id="rId15" Type="http://schemas.openxmlformats.org/officeDocument/2006/relationships/hyperlink" Target="https://www.bcg.com/publications/2025/reviving-city-center-office-buildings-knowledge-camp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