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Magaluf Business Owners Express Concerns Over Impact of Boozy Tourism on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business owners in Magaluf, a popular tourist destination in the Balearic Islands, voiced their concerns about the detrimental impact boozy, disorderly tourism is having on their community. They expressed dissatisfaction with recent government attempts to curb excessive drinking and partying, arguing that the measures do not sufficiently address the issue.</w:t>
      </w:r>
      <w:r/>
    </w:p>
    <w:p>
      <w:r/>
      <w:r>
        <w:t xml:space="preserve">The Balearic government has introduced sterner restrictions targeting alcohol-fueled activities, which include imposing fines ranging from €500 to €1,500 for public drinking that disrupts social harmony. Additionally, party boats are prohibited from coming within one nautical mile of specified areas and cannot embark or disembark passengers there. </w:t>
      </w:r>
      <w:r/>
    </w:p>
    <w:p>
      <w:r/>
      <w:r>
        <w:t>Despite these regulations, some local entrepreneurs, like Sergio Taltavull of Casa Diego restaurant and Sharon Green of Meson Can Miguel, report continuous problems such as public lewdness and vandalism, predominantly attributed to inebriated tourists. They call for a shift towards more family-oriented tourism and less tolerance towards disruptive behaviors.</w:t>
      </w:r>
      <w:r/>
    </w:p>
    <w:p>
      <w:r/>
      <w:r>
        <w:t>This government initiative, effective through December 2027, not only bans public alcohol consumption and other rowdy behaviors but also includes educational campaigns aimed at reducing what officials term 'excessive tourism.' The plan underscores a broader attempt by local authorities to balance tourism with quality of life for residents.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