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Government's Early Release Scheme Raises Concerns Over Public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has implemented an early release scheme for prisoners to alleviate overcrowding in jails, raising concerns from Charlie Taylor, the chief inspector of prisons. Initially, the policy was introduced to allow "low-level offenders" to leave prison up to 18 days early under strict supervision. However, it has since been revealed that high-risk individuals, including a domestic abuser posing a risk to children, have been released. This individual from HMP Lewes had a history involving stalking and domestic abuse, and was under a restraining order.</w:t>
      </w:r>
      <w:r/>
    </w:p>
    <w:p>
      <w:r/>
      <w:r>
        <w:t xml:space="preserve">Amid the operational extension of this policy, with early releases potentially going up to 70 days before the full sentence term, various issues have emerged, notably the release of a second high-risk prisoner with significant drug problems and mental health concerns, who was also homeless upon release. These actions have prompted an inspection that highlighted severe challenges with drugs, violence, and self-harm in the facility. </w:t>
      </w:r>
      <w:r/>
    </w:p>
    <w:p>
      <w:r/>
      <w:r>
        <w:t>Criticism has been directed at the Ministry of Justice for a lack of transparency and evaluation in the selection of candidates for early release, and the broader implications of this approach on public and community safety. Both the shadow justice secretary, Shabana Mahmood, and Andrea Coomber, chief executive of the Howard League for Penal Reform, have called for greater transparency and a reevaluation of the criteria for incarceration and prisoner treatment. Despite these concerns, the Ministry of Justice maintains that the early release scheme is closely supervised to ensure public safety, emphasizing the temporary nature of this measure to manage immediate pressures on the prison system.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