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Chancellor Jeremy Hunt Highlights UK Wage Growth Outpacing Inflation for 10th Consecutive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Jeremy Hunt, the Chancellor of the Exchequer, recently highlighted the ongoing increase in UK wages outstripping inflation, marking the 10th consecutive month of such trends. According to official statistics from the Office for National Statistics (ONS), regular pay grew by an annual rate of 2.4% in the quarter ending in March, the highest rate since August 2021. This growth in wages comes despite the challenges of a cooling labor market and rising unemployment rates.</w:t>
      </w:r>
      <w:r/>
    </w:p>
    <w:p>
      <w:r/>
      <w:r>
        <w:t>The unemployment rate in the UK has climbed to 4.3% during the three months to March, the highest in nearly a year, up from 4.2% in the prior quarter. Additionally, the number of vacancies has fallen for 22 consecutive months, albeit still above pre-pandemic levels. Inflation, on the other hand, has been falling, which has sustained the higher real pay growth.</w:t>
      </w:r>
      <w:r/>
    </w:p>
    <w:p>
      <w:r/>
      <w:r>
        <w:t>Despite these economic fluctuations, Hunt remains optimistic that government reforms, such as those in childcare and pension tax, will boost employment numbers. Liz McKeown, ONS Director of Economic Statistics, noted a cooling job market with declines in employment and payroll numbers, yet with high earnings growth in cash terms stabilizing.</w:t>
      </w:r>
      <w:r/>
    </w:p>
    <w:p>
      <w:r/>
      <w:r>
        <w:t>Economists are closely observing these trends as they impact the Bank of England's monetary policy decisions, particularly concerning interest rates. The current data indicates a complex economic scenario shaped by post-pandemic recovery dynamics and ongoing adjustments in the labor market.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