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Inflationary Pressures Rise in U.S. as Wholesale Prices Increase, UK Job Market Shows Resilience Amid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Wholesale inflation in the U.S. accelerated in April, registering the highest rate in a year, with the Producer Price Index (PPI) climbing to 2.2% over the preceding 12 months. This marked an increase from the revised March figure of 1.8%. On a monthly basis, the PPI rose by 0.5% in April, surpassing the 0.1% decrease witnessed in March. The Bureau of Labor Statistics reported that this rise was largely driven by a 2% increase in energy costs and significant hikes in the services sector. Core PPI, which excludes volatile items like food and energy, also increased by 0.5% from March and exhibited a 2.4% year-on-year rise. This scenario underscores ongoing inflationary pressures which might impact future consumer prices and Federal Reserve interest rate policies.</w:t>
      </w:r>
      <w:r/>
    </w:p>
    <w:p>
      <w:r/>
      <w:r>
        <w:t>In the UK, the job market demonstrated resilience despite increasing challenges. As reported by the Office for National Statistics (ONS), the unemployment rate edged up to 4.3% in the three months to March, the highest level since the previous year. Concurrently, the number of UK workers on payrolls decreased by 85,000 in April to 30.2 million, marking the largest drop since May 2020. However, contrary to predictions, regular average earnings growth remained stable at 6%, enabling wages to continue outpacing the Consumer Price Index (CPI) inflation by 2.4%. This dynamic poses a complex scenario for the Bank of England as it balances efforts to curb inflation with the emerging economic indicators.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