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Unemployment Rate Reaches 4.3% in First Quarter of 2024, Highest Since 2023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UK's unemployment rate has climbed to 4.3% in the first quarter of 2024, marking the highest level since the period from March to May 2023. This data, released by the Office for National Statistics (ONS), highlights an increase from the previous month's 4.2% and a significant rise from the 3.8% recorded in the preceding quarter. During this period, 166,000 additional individuals were registered as unemployed, leading to a total of 1.486 million people out of work and actively seeking employment.</w:t>
      </w:r>
      <w:r/>
    </w:p>
    <w:p>
      <w:r/>
      <w:r>
        <w:t>The labor statistics also indicate a reduction in the number of job vacancies, with a decrease of 26,000 in the three months to April, bringing the total down to 898,000 available jobs. This continuous drop in job vacancies has been noted for 22 consecutive months, although figures remain above pre-pandemic levels.</w:t>
      </w:r>
      <w:r/>
    </w:p>
    <w:p>
      <w:r/>
      <w:r>
        <w:t>In terms of employment, there has been a drop of 178,000 in the numbers employed, with the total workforce just shy of 33 million. The economic inactivity rate also saw an increase, rising to 22.1% in January to March from 21.9% in the last quarter of 2023, reflecting more individuals leaving the workforce due to reasons like illness or caregiving responsibilities.</w:t>
      </w:r>
      <w:r/>
    </w:p>
    <w:p>
      <w:r/>
      <w:r>
        <w:t>Despite the troubling job market indicators, wage growth remained robust. Regular earnings, excluding bonuses, climbed by 6.0%, and total pay, including bonuses, rose by 5.7%. This earnings increase continues to surpass the Consumer Prices Index (CPI) inflation rate, with real earnings (adjusted for inflation) for total pay at 2.1% and regular pay at 2.4%.</w:t>
      </w:r>
      <w:r/>
    </w:p>
    <w:p>
      <w:r/>
      <w:r>
        <w:t>The ONS Director of Economic Statistics, Liz McKeown, noted these labor market trends, emphasizing the ongoing adjustments and challenges faced in the employment sector. With these economic factors at play, the Bank of England closely monitors wage trends as part of its strategy to meet a 2% inflation target, which might influence future decisions on interest rates.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