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Good Governance Ranking Declines Due to Weak Leadership and Brexit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Chandler Global Index for Good Government (CGGI) has indicated a decline in the UK's global ranking for good governance, placing it 11th, a drop attributed to factors such as weak leadership, poor economic management, and the effects of Brexit. Under Prime Minister Rishi Sunak's leadership, the UK fell to 20th in the category of "leadership and foresight" and 27th in "financial stewardship." Conversely, the nation scored high in "reputation and global influence," ranking second after France. However, Brexit impacted the UK’s international trade position, falling from joint second to 28th.</w:t>
      </w:r>
    </w:p>
    <w:p>
      <w:r>
        <w:t xml:space="preserve">The CGGI assessed countries on various criteria including ethical leadership, long-term vision, financial risk management, and public trust. Contributors to the report included experts like Dr. Reuben Abraham of Artha Global and Elizabeth Andersen of the World Justice Project. </w:t>
      </w:r>
    </w:p>
    <w:p>
      <w:r>
        <w:t>Within the political sphere, opposition Labour Party officials have highlighted the report to criticize the current Conservative government, particularly pointing to the economic instability exacerbated by recent fiscal policies. Shadow Chief Secretary to the Treasury Darren Jones remarked on the need for robust governance to unlock the UK's potential. In contrast, sources close to the Prime Minister have dismissed the findings, pointing to the recent GDP growth as evidence of the UK's economic recovery post-pandemic.</w:t>
      </w:r>
    </w:p>
    <w:p>
      <w:r>
        <w:t>The report has spurred debate, coming amid broader political discussions and initiatives by Sir Keir Starmer, Labour Party leader, who has launched a campaign emphasizing economic stability and public service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