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President Biden Raises Tariffs on Chinese EVs to 100% in Bid to Boost US Green Tech Sector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May 14, 2024, President Joe Biden announced a significant increase in tariffs on Chinese electric vehicles (EVs), raising them to 100%. This move is part of a broader trade strategy aimed at various Chinese-made goods, including aluminum, steel, lithium batteries, solar cells, and semiconductors. This escalation reflects a protectionist approach influenced by the US political climate, particularly concerning domestic manufacturing and geopolitical tensions with China.</w:t>
      </w:r>
    </w:p>
    <w:p>
      <w:r>
        <w:t>The shift began during Donald Trump's presidency and has continued under Biden, marking a rare point of bipartisan agreement. The tariffs underscore a strategic effort to nurture the US green tech industry, especially in the face of rapid Chinese advancements in this sector. China has seen a meteoric rise in its EV market, with exports skyrocketing from $400 million in 2019 to $34 billion in 2023. Chinese companies like BYD have emerged as significant players, outpacing US manufacturers like Tesla in both production and innovation.</w:t>
      </w:r>
    </w:p>
    <w:p>
      <w:r>
        <w:t>China's dominance extends beyond EVs to green energy infrastructure, with the country leading in solar and wind power installations. This context frames the US tariffs as a defensive measure, aiming to build a robust domestic green tech economy less dependent on Chinese imports.</w:t>
      </w:r>
    </w:p>
    <w:p>
      <w:r>
        <w:t>Biden's policy aims to protect and stimulate US green industries, part of broader efforts requiring significant financial commitments like the $2 trillion allocated in the Inflation Reduction Act. However, questions remain about the long-term effectiveness of these tariffs and their impact on global green tech dynamics.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