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General Election Set for July 4: Key Issues and Challenges Ahead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has announced that the UK General Election will take place on July 4. The election announcement follows months of speculation and signals a period likely dominated by key issues such as the economy, NHS, immigration, and local government funding.</w:t>
      </w:r>
    </w:p>
    <w:p>
      <w:r>
        <w:t>Economic concerns, exacerbated by the cost-of-living crisis, will be at the forefront, with both major parties presenting their plans to restore financial stability. High inflation and increased national debt challenge the Conservative Party, while Labour positions itself as fiscally cautious.</w:t>
      </w:r>
    </w:p>
    <w:p>
      <w:r>
        <w:t>The NHS is another critical issue, with ongoing concerns about high waiting lists, infrastructure, and workforce shortages. Both parties are promising improvements, but the scale and complexity of the issues present significant challenges for either side.</w:t>
      </w:r>
    </w:p>
    <w:p>
      <w:r>
        <w:t>Local government services, heavily reliant on central funding, are also expected to be a pivotal topic. The government’s “levelling up” agenda has raised public expectations, and both parties’ spending plans will be scrutinized for their impact on local services.</w:t>
      </w:r>
    </w:p>
    <w:p>
      <w:r>
        <w:t>Immigration remains a contentious issue, with the government recently enacting the Rwanda Bill to manage illegal crossings. Labour supports a points-based system and proposes expanding counter-terror powers to address people-smuggling.</w:t>
      </w:r>
    </w:p>
    <w:p>
      <w:r>
        <w:t>Environmental policies will be debated, though they rank lower in voter priorities. The Conservatives and Labour face criticism over their respective stances on climate action and green investment.</w:t>
      </w:r>
    </w:p>
    <w:p>
      <w:r>
        <w:t>The leadership capabilities of Rishi Sunak and Labour leader Sir Keir Starmer will be under close observation, influencing voters based on trust and vision. Current polling indicates dissatisfaction with both leaders, with Sunak facing greater challenges.</w:t>
      </w:r>
    </w:p>
    <w:p>
      <w:r>
        <w:t>This election comes at a crucial time, with broad economic, social, and geopolitical concerns indicating a highly competitive and consequential campaign period.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