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Divisions Over Welfare Benefits Surface in Deprived UK Towns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Jaywick, Essex, one of the UK's most deprived towns, reveals deep community divisions regarding welfare benefits ahead of the general election on July 4. In this area, many unemployed individuals, receiving thousands monthly through benefits such as Universal Credit, express no interest in work and essentially plan to vote for the party that promises to maintain or improve the current welfare system. The majority anticipate supporting the Conservatives, while a minority looks to Labour for potentially more generous benefits provisions.</w:t>
      </w:r>
    </w:p>
    <w:p>
      <w:r>
        <w:t>Paul Redwood, 44, who has been on benefits for six years, prefers the current system and plans to vote Conservative. Similarly, Alison McGuire, 36, content with her benefits and skeptical of job availability, echoes Redwood's sentiment. Michael Corner, 56, however, believes Labour's policies would better support his 20-year benefit dependence.</w:t>
      </w:r>
    </w:p>
    <w:p>
      <w:r>
        <w:t>In contrast, working residents demand significant changes to tackle local issues like crime, anti-social behavior, and drug misuse. Tina Fewell, 55, complains about the prevalence of drug-related problems and the availability of local jobs. Roy Stevens, 73, supports Labour, citing a desperate need for both local and national change.</w:t>
      </w:r>
    </w:p>
    <w:p>
      <w:r>
        <w:t>Other UK towns in similar straits include Gainsborough, Lincolnshire, and Grangetown, Teesside, highlighting widespread issues. Locals in these areas bemoan economic decline, aging infrastructure, and a pervasive lack of motivation among job seekers. Grangetown's past reliance on the now-defunct Southbank Steelmaking Plant further complicates recovery efforts.</w:t>
      </w:r>
    </w:p>
    <w:p>
      <w:r>
        <w:t>Hastings, another impacted town, witnesses increasing youth economic inactivity and mental health struggles, exacerbated by dwindling local opportunities and the effects of austerity-driven service cuts. Initiatives like Hastings Commons aim to improve prospects, but widespread challenges persist.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