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criticises Prime Minister's delay on Martyn's Law as UK political landscape shifts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Sir Keir Starmer has criticized Prime Minister Rishi Sunak for not being "straight" with Figen Murray, the mother of Manchester Arena bombing victim Martyn Hett, regarding the timing of Martyn’s Law. The law would require UK venues and local authorities to have training and plans to prevent terror attacks. Sunak promised to introduce the legislation before Parliament's summer recess, which begins in July 2024, but did not commit to its passage before the next general election.</w:t>
      </w:r>
    </w:p>
    <w:p>
      <w:r>
        <w:t>Ms. Murray felt misled by Sunak’s pledge but noted his commitment to supporting the law if re-elected. Starmer promised that Labour would prioritize the legislation if they were to come into power but avoided guaranteeing its introduction before the summer recess.</w:t>
      </w:r>
    </w:p>
    <w:p>
      <w:r>
        <w:t>Meanwhile, a broader debate over economic policies is unfolding between the two major political parties. Chancellor Jeremy Hunt indicated that the Conservative party might change the current tax system to favor higher earners, while Shadow Chancellor Rachel Reeves emphasized Labour’s commitment to "sound money," pledging not to waste public funds.</w:t>
      </w:r>
    </w:p>
    <w:p>
      <w:r>
        <w:t>Additionally, Michael Gove, the Levelling Up, Housing, and Communities Secretary, announced he will not stand for re-election, marking a significant shift within the Conservative Party. Gove's decision comes as the party faces a record number of MPs deciding not to run again.</w:t>
      </w:r>
    </w:p>
    <w:p>
      <w:r>
        <w:t>These developments are set against the backdrop of a general election campaign, with stark differences between party leaders' economic visions and ongoing debates about national security and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