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Trump's Legal Woes and Unsubstantiated Claims Continue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Donald Trump's Legal Battles: Latest Updates</w:t>
      </w:r>
    </w:p>
    <w:p>
      <w:r>
        <w:t>On 21 May, former President Donald Trump addressed reporters at Manhattan criminal court, amidst escalating legal expenses estimated to surpass $100 million. Trump has recently reignited a false claim that President Joe Biden authorized "deadly force" during the FBI search for classified documents at Trump's Mar-a-Lago estate in August 2022. This unverified assertion stems from a misquoted FBI policy section and Trump was not present in Florida at the time.</w:t>
      </w:r>
    </w:p>
    <w:p>
      <w:r>
        <w:t>Trump's campaign sent a fundraising email on Sunday night, bolstering the claim and soliciting donations. The FBI clarified that the use of "deadly force" is standard policy in situations posing imminent danger and there was no deviation in the Mar-a-Lago raid.</w:t>
      </w:r>
    </w:p>
    <w:p>
      <w:r>
        <w:t>Trump's legal proceedings also include a hush money trial in Manhattan, with Michael Cohen, his former lawyer, testifying against him. Cohen linked Trump directly to a $130,000 payment to adult film star Stormy Daniels to silence her alleged affair story before the 2016 election. Cohen detailed Trump's direct instructions to make the payment.</w:t>
      </w:r>
    </w:p>
    <w:p>
      <w:r>
        <w:t>As of now, Trump continues to face several legal challenges, all while campaigning for political support and financial backing from his supporters.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