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Party's Tax and Economic Plans Ahead of UK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Party's Tax and Economic Plans Ahead of UK General Election</w:t>
      </w:r>
    </w:p>
    <w:p>
      <w:r>
        <w:t>Shadow Chancellor Rachel Reeves addressed tax concerns during a visit to a Rolls-Royce plant in Derby, stressing that a Labour government would not implement any additional tax increases beyond those already outlined. These include extending the windfall tax on energy companies' profits, imposing VAT on private school fees, and taxing private equity bonuses appropriately.</w:t>
      </w:r>
    </w:p>
    <w:p>
      <w:r>
        <w:t>Labour leader Sir Keir Starmer echoed Reeves, emphasizing that no tax rises would be necessary to fulfill existing pledges, which comprise hiring 6,500 new teachers and reducing NHS waiting lists. They have committed to maintaining the current levels of income tax, national insurance, capital gains tax, corporation tax, and wealth taxes. However, potential tax increases on VAT, property taxes, and pensions remain unspecified, leaving room for further fiscal adjustments.</w:t>
      </w:r>
    </w:p>
    <w:p>
      <w:r>
        <w:t>The International Monetary Fund and various economists predict that the next UK government will face significant financial challenges requiring difficult decisions regarding spending cuts or tax rises. The conservative administration currently anticipates fiscal restraint, which could necessitate annual cuts in non-protected departments.</w:t>
      </w:r>
    </w:p>
    <w:p>
      <w:r>
        <w:t>In a separate policy announcement, Labour pledged to enhance workers’ rights by eliminating the lower earnings limit for statutory sick pay, extending eligibility to an estimated 1.5 million low-paid workers. Labour also plans quicker access to sick pay and scrapping waiting periods.</w:t>
      </w:r>
    </w:p>
    <w:p>
      <w:r>
        <w:t>Engaging with business leaders, Reeves promised a balanced approach that supports both workers and businesses, symbolizing Labour's commitment to economic stability 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