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Conclude Investigation of Labour Deputy Leader Angela Rayner Over Tax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Greater Manchester Police have concluded their investigation of Labour Deputy Leader Angela Rayner regarding allegations she breached tax rules during the 2015 sale of an ex-council house. The investigation, initiated by complaints from Conservative MP James Daly, has resulted in no further police action.</w:t>
      </w:r>
    </w:p>
    <w:p>
      <w:r>
        <w:t>Police stated that issues concerning council tax and personal tax are not within their jurisdiction. Instead, relevant findings have been shared with Stockport Council and His Majesty's Revenue and Customs (HMRC).</w:t>
      </w:r>
    </w:p>
    <w:p>
      <w:r>
        <w:t>Rayner faced claims that she did not pay the correct amount of tax on the sale due to confusion over her principal residence. Allegedly, while the property was registered as her primary address, she was living with her then-husband at another location when it was sold.</w:t>
      </w:r>
    </w:p>
    <w:p>
      <w:r>
        <w:t>A Labour Party spokesperson confirmed Rayner's full cooperation with the investigation, which has now concluded with a decision not to proceed further. They reiterated Rayner's stance that she was not liable for capital gains tax, was properly registered to vote, and had paid the appropriate council tax, supported by expert advice.</w:t>
      </w:r>
    </w:p>
    <w:p>
      <w:r>
        <w:t>The police emphasized the public interest due to various complaints from the public following media reports, but clarified their decision to pass on relevant details to other authorities rather than pursue criminal charges.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