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'No Fault' Evictions in London Sparks Criticism Amid Legislative Delays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Surge in 'No Fault' Evictions in London Amid Legislative Delays</w:t>
      </w:r>
    </w:p>
    <w:p>
      <w:r>
        <w:t>The number of 'no fault' evictions in London has surged by 52% over the last year, according to a City Hall analysis. This increase sharply contrasts with a 9% rise in the rest of England and Wales over the same period. Mayor Sadiq Khan criticized the Government's inability to ban such evictions through the delayed Renters (Reform) Bill, calling it a "huge betrayal" of London's 2.7 million private renters.</w:t>
      </w:r>
    </w:p>
    <w:p>
      <w:r>
        <w:t>Section 21 notices, which allow landlords to evict tenants with two months' notice without providing a reason, resulted in 11,880 eviction claims in London for the year ending in March 2024, up from 7,834 in the previous year. This legislative stalemate follows several Conservative MPs pushing for stronger protections for landlords, fearing that tighter regulations would prompt property sales.</w:t>
      </w:r>
    </w:p>
    <w:p>
      <w:r>
        <w:t>As Parliament was dissolved for a general election, the bill's passage was further delayed. Deputy PM Oliver Dowden acknowledged the challenge of passing extensive legislation in a condensed timeframe, pointing to over 30,000 renting households in London facing 'no fault' evictions since 2019. The Government has cited its broader housing achievements, including the construction of 2.5 million new homes nationally since 2010.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