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Maintains Significant Lead in Polls as General Election Looms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continues to hold a significant lead over the Conservatives in recent polls ahead of the upcoming general election. A new survey shows Labour maintaining a lead of over 20 points, with Conservative support dwindling, particularly among 2019 Conservative voters.</w:t>
      </w:r>
    </w:p>
    <w:p>
      <w:r>
        <w:t>Despite trailing Labour in the polls, Prime Minister Rishi Sunak is seen as more honest by the public compared to Labour leader Sir Keir Starmer. Sunak is expected to focus on issues such as the economy, migration, NHS, tax cuts, defence, and security in the upcoming national debates. Key campaign initiatives include a National Service proposal for young people and tax relief on state pensions.</w:t>
      </w:r>
    </w:p>
    <w:p>
      <w:r>
        <w:t>However, Labour faces internal challenges. Claims of a left-wing "purge" have arisen following the uncertainty over Diane Abbott's ability to defend her seat and the suspension of Lloyd Russell-Moyle. Starmer’s leadership is also under scrutiny as Angela Rayner, Labour's deputy leader, publicly supports Abbott’s candidacy, adding pressure on the party's unity.</w:t>
      </w:r>
    </w:p>
    <w:p>
      <w:r>
        <w:t>The controversy also involves Labour's decision not to endorse candidates like Faiza Shaheen for Chingford and Woodford Green, which has been perceived as part of this anticipated "purge."</w:t>
      </w:r>
    </w:p>
    <w:p>
      <w:r>
        <w:t>Additionally, recent events have seen former Conservative MP Mark Logan defect to Labour, praising it as a "broad church" that incorporates diverse political opinions. This move is considered a significant blow to Sunak as the defection further complicates the Conservative Party’s strategy to regain voter confidence ahead of the election scheduled for July 4.</w:t>
      </w:r>
    </w:p>
    <w:p>
      <w:r>
        <w:t>Labour, currently focusing its efforts in Scotland, promises economic stability and improved NHS services, framing its campaign as a decade of national renewal. Meanwhile, the SNP has called for an emergency budget to address the economic challenges post-election, expecting immediate actions to increase NHS funding and reverse austerity cuts.</w:t>
      </w:r>
    </w:p>
    <w:p>
      <w:r>
        <w:t>Reform UK, led by Richard Tice, has ruled out a deal with the Conservatives, maintaining their independent stance and focusing on their policies rather than collaboration.</w:t>
      </w:r>
    </w:p>
    <w:p>
      <w:r>
        <w:t>Polling averages suggest Labour's support remains steady at around 45%, leading the Conservatives by 21 points. Reform UK, Liberal Democrats, and Greens hold smaller shares, reflecting a strong potential for significant Labour gains in the upcoming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