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Party Leaders Emphasize Centrism and Regional Support in Election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leader Keir Starmer emphasized winning from the center ground in an interview with The Times, citing that people generally avoid political extremes. Starmer noted that the Labour party has invited even non-traditional supporters under the theme of "national renewal." He also highlighted his wife's continuing work in the NHS for giving him insights into healthcare.</w:t>
      </w:r>
    </w:p>
    <w:p>
      <w:r>
        <w:t>Rishi Sunak, the Prime Minister, pledged additional funding for 30 towns, including places like Tamworth, Preston, and Corby. This move is part of the Conservative Party's effort to emphasize its commitment to "levelling up" regional areas. Labour's Angela Rayner criticized this initiative, calling it a "scam and a sham."</w:t>
      </w:r>
    </w:p>
    <w:p>
      <w:r>
        <w:t>In related developments, Starmer, Rayner, and Rachel Reeves are set to launch a Labour battle bus focusing on economic growth and “powering up” Britain. The Liberal Democrats proposed a manifesto pledge to make ten Premier League games available on free-to-air television, addressing issues of accessibility and affordability in sports broadcasting.</w:t>
      </w:r>
    </w:p>
    <w:p>
      <w:r>
        <w:t>Meanwhile, the General Election campaign continued with various party leaders making rounds. Sunak visited northern England to promote his funding pledge, while the Scottish First Minister John Swinney campaigned in the northeast, aiming to unseat Tory MPs.</w:t>
      </w:r>
    </w:p>
    <w:p>
      <w:r>
        <w:t>As the campaign unfolds, each party's strategies and promises are under scrutiny, with significant pledges and accusations from all sides shaping the 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