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Welsh First Minister Vaughan Gething Faces Vote of No Confidence Over Controversial Campaign Donation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Welsh First Minister Vaughan Gething is facing a vote of no confidence in the Senedd following controversy over a £200,000 donation to his Welsh Labour leadership campaign. The money came from Dauson Environmental Group, owned by businessman David Neal, who has previous convictions for environmental crimes. Additionally, one of Neal's companies, Resources Management Limited (RML), is being investigated by Natural Resources Wales for suspected environmental offenses.</w:t>
      </w:r>
    </w:p>
    <w:p>
      <w:r>
        <w:t>During a recent event at the Urdd Eisteddfod in Maldwyn, Powys, Gething avoided questions from a BBC reporter about the donations. He later stated that he was unaware of the criminal investigation into RML at the time of accepting the donation and emphasized that he complied with all relevant rules.</w:t>
      </w:r>
    </w:p>
    <w:p>
      <w:r>
        <w:t>The controversy has been compounded by accusations from the Welsh Conservatives, Plaid Cymru, and the Welsh Liberal Democrats, who have all expressed their lack of confidence in Gething's leadership. Labour holds 30 of the 60 seats in the Senedd, so the outcome of the vote will depend on whether any Labour members break ranks. The vote of no confidence is scheduled for Wednesday, forcing Gething to miss the national D-Day commemoration in Portsmouth.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