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Industry Expert Questions Clarity of Labour's GB Energy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GB Energy Plan Lacks Clarity, Says Industry Expert</w:t>
      </w:r>
    </w:p>
    <w:p>
      <w:r>
        <w:t>Professor Paul de Leeuw of Robert Gordon University's Energy Transition Institute expressed confusion regarding Labour's Great British Energy (GB Energy) proposal. Despite its significant mention in Labour's plans, there’s a lack of detail about GB Energy’s business model, funding, and operational integration with existing mechanisms.</w:t>
      </w:r>
    </w:p>
    <w:p>
      <w:r>
        <w:t>Labour leader Sir Keir Starmer's stated that GB Energy aims to protect the UK from fuel price spikes, labeling energy policy as crucial to national security. However, Sir Keir's statement that GB Energy would function as an investment vehicle, rather than an energy company, added to the confusion. Labour later clarified that GB Energy would generate power and manage clean power projects with private firms.</w:t>
      </w:r>
    </w:p>
    <w:p>
      <w:r>
        <w:t>GB Energy is set to receive £8.3 billion over five years from a windfall tax on oil and gas profits, focusing initially on wind and solar projects, with potential investments in offshore wind, hydrogen, and carbon capture technologies.</w:t>
      </w:r>
    </w:p>
    <w:p>
      <w:r>
        <w:t>Prof. de Leeuw noted the existing funding mechanisms already supporting these technologies and questioned how GB Energy would fit into or replace these systems. The Labour plans are poised for scrutiny in upcoming political debates, with contrasting views from party leaders on the economic and environmental implications for the North Sea and the broader energy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