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Announces Clacton Candidacy under Reform UK with Impact on British Politics Foreseen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announced his candidacy for the Clacton constituency under the Reform UK banner, aiming to impact British politics significantly. Clacton, which had nearly 70% of its voters support Brexit in the 2016 EU referendum, represents a strategic choice for Farage. His campaign is driven by his dissatisfaction with the Conservative Party's handling of Brexit. He believes that missed opportunities in curbing immigration and implementing Brexit promises have undermined the original intent of the referendum.</w:t>
      </w:r>
    </w:p>
    <w:p>
      <w:r>
        <w:t>Farage's return to frontline politics comes with the prediction that the Conservative Party, under current fractures and ineffectual leadership, particularly under Prime Minister Rishi Sunak, will see severe losses in the upcoming General Election on July 4. He anticipates a major role in a possible realignment of the center-right politics in the UK if the Tories face a significant defeat.</w:t>
      </w:r>
    </w:p>
    <w:p>
      <w:r>
        <w:t>In a parallel political landscape, Labour's Keir Starmer and the Conservatives' Rishi Sunak lead very different campaigns targeting older voters. Starmer's strategy focuses on reassuring former Conservative supporters, while Sunak attempts to retain 2019 voters. Sunak's efforts include fiscal measures such as significant cuts to national insurance, although this tactic may not yield the anticipated electoral benefits.</w:t>
      </w:r>
    </w:p>
    <w:p>
      <w:r>
        <w:t>The outcome of these political maneuvers could profoundly impact UK politics, potentially leading to a larger Labour majority, which may influence future UK-EU relations. Farage's role, despite his ambitions, could inadvertently facilitate these changes if it results in the Labour Party gaining a decisive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