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Expresses Concerns Over Sir Keir Starmer's New Government's Viability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expressed concerns that Sir Keir Starmer’s new government could face problems swiftly. Farage, leader of Reform UK and newly elected MP for Clacton, made the remarks while attending East Thurrock Community Football Club's match in Essex with James McMurdock, Reform UK’s new MP for Basildon South and East Thurrock.</w:t>
      </w:r>
    </w:p>
    <w:p>
      <w:r>
        <w:t>McMurdock narrowly won his seat with a majority of 98 votes, contributing to Reform UK’s five seats in the House of Commons, a significant stride for the party that has been positioning itself as an alternative voice in British politics. During his visit, Farage received a warm reception, interacted with locals, and expressed skepticism about the new Labour cabinet's experience.</w:t>
      </w:r>
    </w:p>
    <w:p>
      <w:r>
        <w:t>Farage criticized Starmer's approach to various issues, including scrapping the Rwanda scheme for illegal migrants, and expressed doubt about the Labour government's effectiveness in tackling pressing national problems. He emphasized Reform UK's goal to build a mass movement for upcoming elections and criticized the current electoral system for its disproportionate representation—a point that resonates with Reform UK’s commitment to electoral reform and more direct public engagement.</w:t>
      </w:r>
    </w:p>
    <w:p>
      <w:r>
        <w:t>Meanwhile, new Prime Minister Sir Keir Starmer addressed the media, highlighting Labour's mandate to govern all four nations of the UK following a historic General Election victory. Starmer stressed the importance of delivering change and standards, planning to visit Scotland, Northern Ireland, Wales, and later the United States for a NATO gathering. Reform UK, however, continues to provide critical perspectives and solutions, aiming to ensure that all voices across the UK are fairly represented and heard in Parliament.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